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F5F76" w:rsidR="006F0DCC" w:rsidP="00532E32" w:rsidRDefault="006F0DCC">
      <w:pPr>
        <w:jc w:val="center"/>
      </w:pPr>
      <w:bookmarkStart w:name="_GoBack" w:id="0"/>
      <w:bookmarkEnd w:id="0"/>
      <w:r w:rsidRPr="005F5F76">
        <w:rPr>
          <w:noProof/>
          <w:lang w:val="en-US"/>
        </w:rPr>
        <w:drawing>
          <wp:inline distT="0" distB="0" distL="0" distR="0" wp14:anchorId="6BE682C2" wp14:editId="05333D2C">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r w:rsidRPr="005F5F76">
        <w:rPr>
          <w:noProof/>
          <w:lang w:val="en-US"/>
        </w:rPr>
        <mc:AlternateContent>
          <mc:Choice Requires="wps">
            <w:drawing>
              <wp:anchor distT="0" distB="0" distL="114300" distR="114300" simplePos="0" relativeHeight="251658240" behindDoc="1" locked="0" layoutInCell="0" allowOverlap="1" wp14:editId="3B9A9820" wp14:anchorId="19BE7BA8">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F5F76" w:rsidR="00375979" w:rsidP="00944196" w:rsidRDefault="00375979">
                            <w:pPr>
                              <w:jc w:val="center"/>
                              <w:rPr>
                                <w:rFonts w:ascii="Arial" w:hAnsi="Arial" w:cs="Arial"/>
                                <w:b/>
                                <w:sz w:val="48"/>
                              </w:rPr>
                            </w:pPr>
                            <w:r w:rsidRPr="005F5F76">
                              <w:rPr>
                                <w:rFonts w:ascii="Arial" w:hAnsi="Arial" w:cs="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5F5F76" w:rsidR="00375979" w:rsidP="00944196" w:rsidRDefault="00375979">
                      <w:pPr>
                        <w:jc w:val="center"/>
                        <w:rPr>
                          <w:rFonts w:ascii="Arial" w:hAnsi="Arial" w:cs="Arial"/>
                          <w:b/>
                          <w:sz w:val="48"/>
                        </w:rPr>
                      </w:pPr>
                      <w:r w:rsidRPr="005F5F76">
                        <w:rPr>
                          <w:rFonts w:ascii="Arial" w:hAnsi="Arial" w:cs="Arial"/>
                          <w:b/>
                          <w:sz w:val="48"/>
                        </w:rPr>
                        <w:t>EN</w:t>
                      </w:r>
                    </w:p>
                  </w:txbxContent>
                </v:textbox>
                <w10:wrap anchorx="page" anchory="page"/>
              </v:shape>
            </w:pict>
          </mc:Fallback>
        </mc:AlternateContent>
      </w:r>
    </w:p>
    <w:p w:rsidRPr="005F5F76" w:rsidR="00563C84" w:rsidP="00786BB9" w:rsidRDefault="006F0DCC">
      <w:pPr>
        <w:jc w:val="center"/>
      </w:pPr>
      <w:r w:rsidRPr="005F5F76">
        <w:rPr>
          <w:rFonts w:ascii="Arial" w:hAnsi="Arial" w:cs="Arial"/>
          <w:b/>
          <w:i/>
          <w:sz w:val="20"/>
        </w:rPr>
        <w:t>European Economic and Social Committee</w:t>
      </w:r>
    </w:p>
    <w:p w:rsidRPr="005F5F76" w:rsidR="00646AC2" w:rsidP="00786BB9" w:rsidRDefault="00646AC2"/>
    <w:p w:rsidRPr="005F5F76" w:rsidR="008A32F6" w:rsidP="00786BB9" w:rsidRDefault="008A32F6"/>
    <w:p w:rsidRPr="005F5F76" w:rsidR="00162A07" w:rsidP="00786BB9" w:rsidRDefault="00CC7D2F">
      <w:pPr>
        <w:jc w:val="right"/>
      </w:pPr>
      <w:r w:rsidRPr="005F5F76">
        <w:rPr>
          <w:b/>
        </w:rPr>
        <w:t>ECO/46</w:t>
      </w:r>
      <w:r w:rsidRPr="005F5F76" w:rsidR="00DD68EA">
        <w:rPr>
          <w:b/>
        </w:rPr>
        <w:t>2</w:t>
      </w:r>
    </w:p>
    <w:p w:rsidRPr="005F5F76" w:rsidR="00563C84" w:rsidP="00786BB9" w:rsidRDefault="00C121D0">
      <w:pPr>
        <w:jc w:val="right"/>
        <w:rPr>
          <w:b/>
        </w:rPr>
      </w:pPr>
      <w:r w:rsidRPr="005F5F76">
        <w:rPr>
          <w:b/>
        </w:rPr>
        <w:t>Regulation on the ERDF and Cohesion Fund</w:t>
      </w:r>
    </w:p>
    <w:p w:rsidRPr="005F5F76" w:rsidR="00BF093C" w:rsidP="005F5F76" w:rsidRDefault="00BF093C">
      <w:pPr>
        <w:rPr>
          <w:b/>
        </w:rPr>
      </w:pPr>
    </w:p>
    <w:p w:rsidRPr="005F5F76" w:rsidR="008A32F6" w:rsidP="005F5F76" w:rsidRDefault="008A32F6">
      <w:pPr>
        <w:rPr>
          <w:b/>
        </w:rPr>
      </w:pPr>
    </w:p>
    <w:p w:rsidRPr="005F5F76" w:rsidR="00FF2F62" w:rsidP="00786BB9" w:rsidRDefault="00A46172">
      <w:pPr>
        <w:jc w:val="center"/>
      </w:pPr>
      <w:r w:rsidRPr="005F5F76">
        <w:rPr>
          <w:b/>
          <w:sz w:val="28"/>
        </w:rPr>
        <w:t>OPINION</w:t>
      </w:r>
      <w:r w:rsidRPr="005F5F76" w:rsidR="00563C84">
        <w:br/>
      </w:r>
      <w:r w:rsidRPr="005F5F76" w:rsidR="00563C84">
        <w:br/>
      </w:r>
      <w:r w:rsidRPr="005F5F76" w:rsidR="002F5464">
        <w:t>European Economic and Social Committe</w:t>
      </w:r>
      <w:r w:rsidRPr="005F5F76" w:rsidR="002B1BC9">
        <w:br/>
      </w:r>
      <w:r w:rsidRPr="005F5F76" w:rsidR="002B1BC9">
        <w:br/>
      </w:r>
      <w:r w:rsidRPr="005F5F76" w:rsidR="00925D1E">
        <w:rPr>
          <w:b/>
          <w:bCs/>
        </w:rPr>
        <w:t xml:space="preserve">Proposal for a </w:t>
      </w:r>
      <w:r w:rsidRPr="005F5F76" w:rsidR="00BF093C">
        <w:rPr>
          <w:b/>
          <w:bCs/>
        </w:rPr>
        <w:t>Regulation of the</w:t>
      </w:r>
      <w:r w:rsidRPr="005F5F76" w:rsidR="00925D1E">
        <w:rPr>
          <w:b/>
          <w:bCs/>
        </w:rPr>
        <w:t xml:space="preserve"> </w:t>
      </w:r>
      <w:r w:rsidRPr="005F5F76" w:rsidR="00BF093C">
        <w:rPr>
          <w:b/>
          <w:bCs/>
        </w:rPr>
        <w:t xml:space="preserve">European Parliament and of the Council </w:t>
      </w:r>
      <w:r w:rsidRPr="005F5F76" w:rsidR="00925D1E">
        <w:rPr>
          <w:b/>
          <w:bCs/>
        </w:rPr>
        <w:t>on the</w:t>
      </w:r>
      <w:r w:rsidRPr="005F5F76" w:rsidR="002B1BC9">
        <w:rPr>
          <w:b/>
          <w:bCs/>
        </w:rPr>
        <w:br/>
      </w:r>
      <w:r w:rsidRPr="005F5F76" w:rsidR="00925D1E">
        <w:rPr>
          <w:b/>
          <w:bCs/>
        </w:rPr>
        <w:t>European Regional Development Fund and on the Cohesion Fund</w:t>
      </w:r>
      <w:r w:rsidRPr="005F5F76" w:rsidR="002B1BC9">
        <w:br/>
      </w:r>
      <w:r w:rsidRPr="005F5F76" w:rsidR="00925D1E">
        <w:t>[</w:t>
      </w:r>
      <w:r w:rsidRPr="005F5F76" w:rsidR="00BF093C">
        <w:t xml:space="preserve">COM(2018) </w:t>
      </w:r>
      <w:r w:rsidRPr="005F5F76" w:rsidR="00925D1E">
        <w:t>372 final - 2018/0197 (COD)</w:t>
      </w:r>
      <w:r w:rsidRPr="005F5F76" w:rsidR="00FF2F62">
        <w:t>]</w:t>
      </w:r>
    </w:p>
    <w:p w:rsidRPr="005F5F76" w:rsidR="00FF2F62" w:rsidP="00786BB9" w:rsidRDefault="00FF2F62">
      <w:pPr>
        <w:jc w:val="center"/>
      </w:pPr>
    </w:p>
    <w:p w:rsidRPr="005F5F76" w:rsidR="00A45DB8" w:rsidP="00786BB9" w:rsidRDefault="00247FD2">
      <w:pPr>
        <w:jc w:val="center"/>
        <w:rPr>
          <w:b/>
        </w:rPr>
      </w:pPr>
      <w:r w:rsidRPr="005F5F76">
        <w:t>R</w:t>
      </w:r>
      <w:r w:rsidRPr="005F5F76" w:rsidR="00A45DB8">
        <w:t xml:space="preserve">apporteur: </w:t>
      </w:r>
      <w:r w:rsidRPr="005F5F76" w:rsidR="00187504">
        <w:rPr>
          <w:b/>
        </w:rPr>
        <w:t xml:space="preserve">Ioannis </w:t>
      </w:r>
      <w:r w:rsidRPr="005F5F76" w:rsidR="004D467A">
        <w:rPr>
          <w:b/>
        </w:rPr>
        <w:t>VARDAKASTANIS</w:t>
      </w:r>
    </w:p>
    <w:p w:rsidRPr="005F5F76" w:rsidR="00925D1E" w:rsidP="00786BB9" w:rsidRDefault="005A1390">
      <w:pPr>
        <w:jc w:val="center"/>
      </w:pPr>
      <w:r w:rsidRPr="005F5F76">
        <w:t>Co</w:t>
      </w:r>
      <w:r w:rsidRPr="005F5F76" w:rsidR="00385A15">
        <w:t>-</w:t>
      </w:r>
      <w:r w:rsidRPr="005F5F76" w:rsidR="00925D1E">
        <w:t xml:space="preserve">rapporteur: </w:t>
      </w:r>
      <w:r w:rsidRPr="005F5F76" w:rsidR="00925D1E">
        <w:rPr>
          <w:b/>
        </w:rPr>
        <w:t xml:space="preserve">Ester </w:t>
      </w:r>
      <w:r w:rsidRPr="005F5F76" w:rsidR="004D467A">
        <w:rPr>
          <w:b/>
        </w:rPr>
        <w:t>VITALE</w:t>
      </w:r>
    </w:p>
    <w:p w:rsidRPr="005F5F76" w:rsidR="00925D1E" w:rsidP="00786BB9" w:rsidRDefault="00925D1E">
      <w:pPr>
        <w:jc w:val="center"/>
      </w:pPr>
    </w:p>
    <w:p w:rsidRPr="005F5F76" w:rsidR="00E32DC6" w:rsidP="00786BB9" w:rsidRDefault="00E32DC6"/>
    <w:p w:rsidRPr="005F5F76" w:rsidR="00E32DC6" w:rsidP="00786BB9" w:rsidRDefault="00E32DC6">
      <w:pPr>
        <w:sectPr w:rsidRPr="005F5F76" w:rsidR="00E32DC6" w:rsidSect="005F5F76">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2"/>
      </w:tblGrid>
      <w:tr w:rsidRPr="005F5F76" w:rsidR="0011656A" w:rsidTr="007E50BF">
        <w:tc>
          <w:tcPr>
            <w:tcW w:w="3085" w:type="dxa"/>
          </w:tcPr>
          <w:p w:rsidRPr="005F5F76" w:rsidR="0011656A" w:rsidP="005F5F76" w:rsidRDefault="004A5738">
            <w:r w:rsidRPr="005F5F76">
              <w:lastRenderedPageBreak/>
              <w:t>Referral</w:t>
            </w:r>
          </w:p>
        </w:tc>
        <w:tc>
          <w:tcPr>
            <w:tcW w:w="6202" w:type="dxa"/>
          </w:tcPr>
          <w:p w:rsidRPr="005F5F76" w:rsidR="00FE18E3" w:rsidP="005F5F76" w:rsidRDefault="00C179A0">
            <w:r w:rsidRPr="005F5F76">
              <w:t>European</w:t>
            </w:r>
            <w:r w:rsidRPr="005F5F76" w:rsidR="00FE18E3">
              <w:t xml:space="preserve"> Parliament</w:t>
            </w:r>
            <w:r w:rsidRPr="005F5F76">
              <w:t xml:space="preserve">, </w:t>
            </w:r>
            <w:r w:rsidRPr="005F5F76" w:rsidR="00FE18E3">
              <w:t>11/06/2018</w:t>
            </w:r>
          </w:p>
          <w:p w:rsidRPr="005F5F76" w:rsidR="00FE3C7D" w:rsidP="005F5F76" w:rsidRDefault="00FE18E3">
            <w:r w:rsidRPr="005F5F76">
              <w:t>European Council, 19/06/2018</w:t>
            </w:r>
          </w:p>
        </w:tc>
      </w:tr>
      <w:tr w:rsidRPr="005F5F76" w:rsidR="0016503F" w:rsidTr="007E50BF">
        <w:trPr>
          <w:trHeight w:val="251"/>
        </w:trPr>
        <w:tc>
          <w:tcPr>
            <w:tcW w:w="3085" w:type="dxa"/>
          </w:tcPr>
          <w:p w:rsidRPr="005F5F76" w:rsidR="0016503F" w:rsidP="005F5F76" w:rsidRDefault="0016503F">
            <w:r w:rsidRPr="005F5F76">
              <w:t>Legal basis</w:t>
            </w:r>
          </w:p>
        </w:tc>
        <w:tc>
          <w:tcPr>
            <w:tcW w:w="6202" w:type="dxa"/>
          </w:tcPr>
          <w:p w:rsidRPr="005F5F76" w:rsidR="0016503F" w:rsidP="005F5F76" w:rsidRDefault="00FE18E3">
            <w:r w:rsidRPr="005F5F76">
              <w:t>Articles 177, 178, 3</w:t>
            </w:r>
            <w:r w:rsidRPr="005F5F76" w:rsidR="009A626D">
              <w:t>04</w:t>
            </w:r>
            <w:r w:rsidRPr="005F5F76" w:rsidR="0016503F">
              <w:t xml:space="preserve"> </w:t>
            </w:r>
            <w:r w:rsidRPr="005F5F76">
              <w:t xml:space="preserve">and 349 </w:t>
            </w:r>
            <w:r w:rsidRPr="005F5F76" w:rsidR="0016503F">
              <w:t>of the Treaty on the Functioning of the European Union</w:t>
            </w:r>
          </w:p>
        </w:tc>
      </w:tr>
      <w:tr w:rsidRPr="005F5F76" w:rsidR="0016503F" w:rsidTr="007E50BF">
        <w:trPr>
          <w:trHeight w:val="250"/>
        </w:trPr>
        <w:tc>
          <w:tcPr>
            <w:tcW w:w="3085" w:type="dxa"/>
          </w:tcPr>
          <w:p w:rsidRPr="005F5F76" w:rsidR="0016503F" w:rsidP="005F5F76" w:rsidRDefault="0016503F"/>
        </w:tc>
        <w:tc>
          <w:tcPr>
            <w:tcW w:w="6202" w:type="dxa"/>
          </w:tcPr>
          <w:p w:rsidRPr="005F5F76" w:rsidR="0016503F" w:rsidP="005F5F76" w:rsidRDefault="0016503F"/>
        </w:tc>
      </w:tr>
      <w:tr w:rsidRPr="005F5F76" w:rsidR="00DF5B64" w:rsidTr="007E50BF">
        <w:tc>
          <w:tcPr>
            <w:tcW w:w="3085" w:type="dxa"/>
          </w:tcPr>
          <w:p w:rsidRPr="005F5F76" w:rsidR="00DF5B64" w:rsidP="005F5F76" w:rsidRDefault="00AD4B4F">
            <w:r w:rsidRPr="005F5F76">
              <w:t>Section responsible</w:t>
            </w:r>
          </w:p>
        </w:tc>
        <w:tc>
          <w:tcPr>
            <w:tcW w:w="6202" w:type="dxa"/>
          </w:tcPr>
          <w:p w:rsidRPr="005F5F76" w:rsidR="00DF5B64" w:rsidP="005F5F76" w:rsidRDefault="00DD6B23">
            <w:r w:rsidRPr="005F5F76">
              <w:t>Economic and Monetary Union and Economic and Social Cohesion</w:t>
            </w:r>
          </w:p>
        </w:tc>
      </w:tr>
      <w:tr w:rsidRPr="005F5F76" w:rsidR="00A156E6" w:rsidTr="007E50BF">
        <w:tc>
          <w:tcPr>
            <w:tcW w:w="3085" w:type="dxa"/>
          </w:tcPr>
          <w:p w:rsidRPr="005F5F76" w:rsidR="00A156E6" w:rsidP="005F5F76" w:rsidRDefault="00A156E6">
            <w:r w:rsidRPr="005F5F76">
              <w:t>Adopted in section</w:t>
            </w:r>
          </w:p>
        </w:tc>
        <w:tc>
          <w:tcPr>
            <w:tcW w:w="6202" w:type="dxa"/>
          </w:tcPr>
          <w:p w:rsidRPr="005F5F76" w:rsidR="00A156E6" w:rsidP="005F5F76" w:rsidRDefault="00C31D11">
            <w:r w:rsidRPr="005F5F76">
              <w:t>03/10/2018</w:t>
            </w:r>
          </w:p>
        </w:tc>
      </w:tr>
      <w:tr w:rsidRPr="005F5F76" w:rsidR="00A156E6" w:rsidTr="007E50BF">
        <w:tc>
          <w:tcPr>
            <w:tcW w:w="3085" w:type="dxa"/>
          </w:tcPr>
          <w:p w:rsidRPr="005F5F76" w:rsidR="00A156E6" w:rsidP="005F5F76" w:rsidRDefault="00A156E6">
            <w:r w:rsidRPr="005F5F76">
              <w:t>Adopted at plenary</w:t>
            </w:r>
          </w:p>
        </w:tc>
        <w:tc>
          <w:tcPr>
            <w:tcW w:w="6202" w:type="dxa"/>
          </w:tcPr>
          <w:p w:rsidRPr="005F5F76" w:rsidR="00A156E6" w:rsidP="005F5F76" w:rsidRDefault="002F5464">
            <w:r w:rsidRPr="005F5F76">
              <w:t>17/10/2018</w:t>
            </w:r>
          </w:p>
        </w:tc>
      </w:tr>
      <w:tr w:rsidRPr="005F5F76" w:rsidR="00BA1290" w:rsidTr="007E50BF">
        <w:tc>
          <w:tcPr>
            <w:tcW w:w="3085" w:type="dxa"/>
          </w:tcPr>
          <w:p w:rsidRPr="005F5F76" w:rsidR="00BA1290" w:rsidP="005F5F76" w:rsidRDefault="00BA1290">
            <w:r w:rsidRPr="005F5F76">
              <w:t>Plenary session No</w:t>
            </w:r>
          </w:p>
        </w:tc>
        <w:tc>
          <w:tcPr>
            <w:tcW w:w="6202" w:type="dxa"/>
          </w:tcPr>
          <w:p w:rsidRPr="005F5F76" w:rsidR="00BA1290" w:rsidP="005F5F76" w:rsidRDefault="002F5464">
            <w:r w:rsidRPr="005F5F76">
              <w:t>538</w:t>
            </w:r>
          </w:p>
        </w:tc>
      </w:tr>
      <w:tr w:rsidRPr="005F5F76" w:rsidR="00A156E6" w:rsidTr="007E50BF">
        <w:tc>
          <w:tcPr>
            <w:tcW w:w="3085" w:type="dxa"/>
          </w:tcPr>
          <w:p w:rsidRPr="005F5F76" w:rsidR="00D423D4" w:rsidP="005F5F76" w:rsidRDefault="0043024C">
            <w:r w:rsidRPr="005F5F76">
              <w:t xml:space="preserve">Outcome of </w:t>
            </w:r>
            <w:r w:rsidRPr="005F5F76" w:rsidR="007622A7">
              <w:t>vote</w:t>
            </w:r>
            <w:r w:rsidRPr="005F5F76" w:rsidR="00F20987">
              <w:br/>
            </w:r>
            <w:r w:rsidRPr="005F5F76">
              <w:t>(</w:t>
            </w:r>
            <w:r w:rsidRPr="005F5F76" w:rsidR="007622A7">
              <w:t>for</w:t>
            </w:r>
            <w:r w:rsidRPr="005F5F76">
              <w:t>/against/abstentions)</w:t>
            </w:r>
          </w:p>
        </w:tc>
        <w:tc>
          <w:tcPr>
            <w:tcW w:w="6202" w:type="dxa"/>
            <w:vAlign w:val="bottom"/>
          </w:tcPr>
          <w:p w:rsidRPr="005F5F76" w:rsidR="00A156E6" w:rsidP="005F5F76" w:rsidRDefault="00626F4C">
            <w:r w:rsidRPr="005F5F76">
              <w:t>138</w:t>
            </w:r>
            <w:r w:rsidRPr="005F5F76" w:rsidR="00A156E6">
              <w:t>/</w:t>
            </w:r>
            <w:r w:rsidRPr="005F5F76">
              <w:t>0</w:t>
            </w:r>
            <w:r w:rsidRPr="005F5F76" w:rsidR="00A156E6">
              <w:t>/</w:t>
            </w:r>
            <w:r w:rsidRPr="005F5F76">
              <w:t>1</w:t>
            </w:r>
          </w:p>
        </w:tc>
      </w:tr>
    </w:tbl>
    <w:p w:rsidRPr="005F5F76" w:rsidR="0090053A" w:rsidP="0015678B" w:rsidRDefault="0090053A"/>
    <w:p w:rsidRPr="005F5F76" w:rsidR="00646AC2" w:rsidP="0015678B" w:rsidRDefault="00646AC2">
      <w:r w:rsidRPr="005F5F76">
        <w:br w:type="page"/>
      </w:r>
    </w:p>
    <w:p w:rsidRPr="005F5F76" w:rsidR="00816401" w:rsidP="00B307AC" w:rsidRDefault="00B307AC">
      <w:r w:rsidRPr="005F5F76">
        <w:t>This EESC opinion concerns the proposal presented by the European Commission on 29 May 2018 for a Regulation of the Council and the Parliament</w:t>
      </w:r>
      <w:r w:rsidRPr="005F5F76">
        <w:rPr>
          <w:rStyle w:val="FootnoteReference"/>
        </w:rPr>
        <w:footnoteReference w:id="2"/>
      </w:r>
      <w:r w:rsidRPr="005F5F76">
        <w:t xml:space="preserve"> on the European Regional Development Fund and Cohesion Fund for the period 2021 to 2027. The opinion</w:t>
      </w:r>
      <w:r w:rsidRPr="005F5F76" w:rsidR="00EA065D">
        <w:t xml:space="preserve"> also</w:t>
      </w:r>
      <w:r w:rsidRPr="005F5F76" w:rsidR="00D91F08">
        <w:t xml:space="preserve"> </w:t>
      </w:r>
      <w:r w:rsidRPr="005F5F76">
        <w:t>includes a few brief</w:t>
      </w:r>
      <w:r w:rsidRPr="005F5F76" w:rsidR="00EA065D">
        <w:t xml:space="preserve"> comments</w:t>
      </w:r>
      <w:r w:rsidRPr="005F5F76">
        <w:t xml:space="preserve"> on some provisions of the proposed Common Provisions Regulation (CPR)</w:t>
      </w:r>
      <w:r w:rsidRPr="005F5F76">
        <w:rPr>
          <w:rStyle w:val="FootnoteReference"/>
        </w:rPr>
        <w:footnoteReference w:id="3"/>
      </w:r>
      <w:r w:rsidRPr="005F5F76">
        <w:t xml:space="preserve"> that</w:t>
      </w:r>
      <w:r w:rsidRPr="005F5F76" w:rsidR="00EA065D">
        <w:t xml:space="preserve"> directly </w:t>
      </w:r>
      <w:r w:rsidRPr="005F5F76">
        <w:t>concern relevant aspects of the structure, contents, articulation and further implementation of the European Regional Development Fund (ERDF) and the Cohesion Fund (CF).</w:t>
      </w:r>
    </w:p>
    <w:p w:rsidRPr="005F5F76" w:rsidR="00B307AC" w:rsidP="00B307AC" w:rsidRDefault="00B307AC"/>
    <w:p w:rsidRPr="005F5F76" w:rsidR="00011D33" w:rsidP="00BA1A9E" w:rsidRDefault="00011D33">
      <w:pPr>
        <w:pStyle w:val="Heading1"/>
        <w:ind w:left="567" w:hanging="567"/>
        <w:rPr>
          <w:b/>
        </w:rPr>
      </w:pPr>
      <w:r w:rsidRPr="005F5F76">
        <w:rPr>
          <w:b/>
        </w:rPr>
        <w:t>Conclusions and recommendations</w:t>
      </w:r>
    </w:p>
    <w:p w:rsidRPr="005F5F76" w:rsidR="00C15B40" w:rsidP="009E4BA5" w:rsidRDefault="00C15B40">
      <w:pPr>
        <w:rPr>
          <w:i/>
        </w:rPr>
      </w:pPr>
    </w:p>
    <w:p w:rsidRPr="005F5F76" w:rsidR="00375979" w:rsidP="0024003D" w:rsidRDefault="00C15B40">
      <w:pPr>
        <w:pStyle w:val="Heading2"/>
        <w:ind w:left="567" w:hanging="567"/>
      </w:pPr>
      <w:r w:rsidRPr="005F5F76">
        <w:t xml:space="preserve">The EESC reaffirms its strong </w:t>
      </w:r>
      <w:r w:rsidRPr="005F5F76" w:rsidR="00B307AC">
        <w:t>commitment</w:t>
      </w:r>
      <w:r w:rsidRPr="005F5F76" w:rsidR="002428C7">
        <w:t xml:space="preserve"> to </w:t>
      </w:r>
      <w:r w:rsidRPr="005F5F76" w:rsidR="00B307AC">
        <w:t xml:space="preserve">and </w:t>
      </w:r>
      <w:r w:rsidRPr="005F5F76">
        <w:t xml:space="preserve">belief in cohesion policy and considers it a major instrument for bringing the EU closer to its citizens and for </w:t>
      </w:r>
      <w:r w:rsidRPr="005F5F76">
        <w:rPr>
          <w:b/>
        </w:rPr>
        <w:t xml:space="preserve">tackling disparities among EU </w:t>
      </w:r>
      <w:r w:rsidRPr="005F5F76">
        <w:t>regions</w:t>
      </w:r>
      <w:r w:rsidRPr="005F5F76">
        <w:rPr>
          <w:b/>
        </w:rPr>
        <w:t xml:space="preserve"> and </w:t>
      </w:r>
      <w:r w:rsidRPr="005F5F76" w:rsidR="009E5B11">
        <w:rPr>
          <w:b/>
        </w:rPr>
        <w:t xml:space="preserve">inequalities among </w:t>
      </w:r>
      <w:r w:rsidRPr="005F5F76">
        <w:rPr>
          <w:b/>
        </w:rPr>
        <w:t>citizens</w:t>
      </w:r>
      <w:r w:rsidRPr="005F5F76">
        <w:t>.</w:t>
      </w:r>
    </w:p>
    <w:p w:rsidRPr="005F5F76" w:rsidR="00816401" w:rsidP="0024003D" w:rsidRDefault="00816401"/>
    <w:p w:rsidRPr="005F5F76" w:rsidR="00B43837" w:rsidP="0004094A" w:rsidRDefault="00B43837">
      <w:pPr>
        <w:pStyle w:val="Heading2"/>
        <w:ind w:left="567" w:hanging="567"/>
      </w:pPr>
      <w:r w:rsidRPr="005F5F76">
        <w:t>Although the EESC is aware of the Commission</w:t>
      </w:r>
      <w:r w:rsidRPr="005F5F76" w:rsidR="00D91F08">
        <w:t>'</w:t>
      </w:r>
      <w:r w:rsidRPr="005F5F76">
        <w:t>s reasoning, it completely disagrees with the cuts to the cohesion policy in general, and in particular</w:t>
      </w:r>
      <w:r w:rsidRPr="005F5F76" w:rsidR="009A055D">
        <w:t xml:space="preserve"> cuts of </w:t>
      </w:r>
      <w:r w:rsidRPr="005F5F76">
        <w:t xml:space="preserve">12% </w:t>
      </w:r>
      <w:r w:rsidRPr="005F5F76" w:rsidR="009A055D">
        <w:t>to</w:t>
      </w:r>
      <w:r w:rsidRPr="005F5F76">
        <w:t xml:space="preserve"> the ERDF and 46%</w:t>
      </w:r>
      <w:r w:rsidRPr="005F5F76" w:rsidR="009A055D">
        <w:t xml:space="preserve"> to</w:t>
      </w:r>
      <w:r w:rsidRPr="005F5F76">
        <w:t xml:space="preserve"> the CF. It therefore asks the European Commission, the European Parliament and the</w:t>
      </w:r>
      <w:r w:rsidRPr="005F5F76" w:rsidR="009A055D">
        <w:t xml:space="preserve"> Council</w:t>
      </w:r>
      <w:r w:rsidRPr="005F5F76">
        <w:t xml:space="preserve"> to increase the budget proposal, so as to maintain at least the same resources, at constant prices, as in the current financial framework.</w:t>
      </w:r>
    </w:p>
    <w:p w:rsidRPr="005F5F76" w:rsidR="00B43837" w:rsidP="00B43837" w:rsidRDefault="00B43837"/>
    <w:p w:rsidRPr="005F5F76" w:rsidR="00C15B40" w:rsidP="0004094A" w:rsidRDefault="00C15B40">
      <w:pPr>
        <w:pStyle w:val="Heading2"/>
        <w:ind w:left="567" w:hanging="567"/>
      </w:pPr>
      <w:r w:rsidRPr="005F5F76">
        <w:t xml:space="preserve">The EESC underlines that the </w:t>
      </w:r>
      <w:r w:rsidRPr="005F5F76" w:rsidR="00E44D10">
        <w:t>de</w:t>
      </w:r>
      <w:r w:rsidRPr="005F5F76">
        <w:t xml:space="preserve">crease in the </w:t>
      </w:r>
      <w:r w:rsidRPr="005F5F76" w:rsidR="00055C9D">
        <w:rPr>
          <w:b/>
        </w:rPr>
        <w:t>E</w:t>
      </w:r>
      <w:r w:rsidRPr="005F5F76" w:rsidR="00EC0457">
        <w:rPr>
          <w:b/>
        </w:rPr>
        <w:t xml:space="preserve">uropean </w:t>
      </w:r>
      <w:r w:rsidRPr="005F5F76">
        <w:rPr>
          <w:b/>
        </w:rPr>
        <w:t xml:space="preserve">co-financing </w:t>
      </w:r>
      <w:r w:rsidRPr="005F5F76" w:rsidR="00E44D10">
        <w:rPr>
          <w:b/>
        </w:rPr>
        <w:t xml:space="preserve">rates </w:t>
      </w:r>
      <w:r w:rsidRPr="005F5F76">
        <w:t>will hinder the implementation of projects, especially by Member States facing budget difficulties and of course by those that have been hardest hit by the crisis.</w:t>
      </w:r>
    </w:p>
    <w:p w:rsidRPr="005F5F76" w:rsidR="00C15B40" w:rsidP="00BA1A9E" w:rsidRDefault="00C15B40">
      <w:pPr>
        <w:ind w:left="567" w:hanging="567"/>
      </w:pPr>
    </w:p>
    <w:p w:rsidRPr="005F5F76" w:rsidR="00E44D10" w:rsidP="0024003D" w:rsidRDefault="00E44D10">
      <w:pPr>
        <w:pStyle w:val="Heading2"/>
        <w:ind w:left="567" w:hanging="567"/>
      </w:pPr>
      <w:r w:rsidRPr="005F5F76">
        <w:t xml:space="preserve">The EESC calls upon the </w:t>
      </w:r>
      <w:r w:rsidRPr="005F5F76" w:rsidR="00D2664A">
        <w:t xml:space="preserve">Commission </w:t>
      </w:r>
      <w:r w:rsidRPr="005F5F76">
        <w:t xml:space="preserve">to make the criteria for </w:t>
      </w:r>
      <w:r w:rsidRPr="005F5F76">
        <w:rPr>
          <w:b/>
        </w:rPr>
        <w:t>co-financing more flexible</w:t>
      </w:r>
      <w:r w:rsidRPr="005F5F76">
        <w:t>, so that the economic and financial situation of each Member State is taken into account and the rule the Committee has recommended in several of its latest opinions is applied: investment expenses should not be</w:t>
      </w:r>
      <w:r w:rsidRPr="005F5F76" w:rsidR="008322AD">
        <w:t xml:space="preserve"> taken into </w:t>
      </w:r>
      <w:r w:rsidRPr="005F5F76">
        <w:t>account</w:t>
      </w:r>
      <w:r w:rsidRPr="005F5F76" w:rsidR="008322AD">
        <w:t xml:space="preserve"> regarding </w:t>
      </w:r>
      <w:r w:rsidRPr="005F5F76">
        <w:t>fulfilment of the deficit objectives of the Stability and Growth Pact.</w:t>
      </w:r>
    </w:p>
    <w:p w:rsidRPr="005F5F76" w:rsidR="004F4B7D" w:rsidP="0024003D" w:rsidRDefault="004F4B7D"/>
    <w:p w:rsidRPr="005F5F76" w:rsidR="00C15B40" w:rsidP="0004094A" w:rsidRDefault="00C15B40">
      <w:pPr>
        <w:pStyle w:val="Heading2"/>
        <w:ind w:left="567" w:hanging="567"/>
      </w:pPr>
      <w:r w:rsidRPr="005F5F76">
        <w:t>The EESC considers that the Commission's proposal to reintroduce the N+2 rule is not supported by practical evidence or by the results analysis of the implementation of the N+3 rule. It therefore disagrees with this proposal and asks the Commission to maintain the N+3 rule for the new programming period.</w:t>
      </w:r>
    </w:p>
    <w:p w:rsidRPr="005F5F76" w:rsidR="00650DD7" w:rsidP="00BA1A9E" w:rsidRDefault="00650DD7">
      <w:pPr>
        <w:ind w:left="567" w:hanging="567"/>
      </w:pPr>
    </w:p>
    <w:p w:rsidRPr="005F5F76" w:rsidR="00C15B40" w:rsidP="0004094A" w:rsidRDefault="00C15B40">
      <w:pPr>
        <w:pStyle w:val="Heading2"/>
        <w:ind w:left="567" w:hanging="567"/>
      </w:pPr>
      <w:r w:rsidRPr="005F5F76">
        <w:t xml:space="preserve">The EESC welcomes the Commission's proposal for the </w:t>
      </w:r>
      <w:r w:rsidRPr="005F5F76">
        <w:rPr>
          <w:b/>
        </w:rPr>
        <w:t>simplification</w:t>
      </w:r>
      <w:r w:rsidRPr="005F5F76">
        <w:t xml:space="preserve"> of the use of the funds in terms of structure, administration and management, facilitating smoother and more effective access to them. However, the simplification of the funds should not sideline principles and values that are an integral part of the EU acquis.</w:t>
      </w:r>
    </w:p>
    <w:p w:rsidRPr="005F5F76" w:rsidR="00650DD7" w:rsidP="00BA1A9E" w:rsidRDefault="00650DD7">
      <w:pPr>
        <w:ind w:left="567" w:hanging="567"/>
      </w:pPr>
    </w:p>
    <w:p w:rsidRPr="005F5F76" w:rsidR="00C15B40" w:rsidP="006074F0" w:rsidRDefault="00C15B40">
      <w:pPr>
        <w:pStyle w:val="Heading2"/>
        <w:ind w:left="567" w:hanging="567"/>
      </w:pPr>
      <w:r w:rsidRPr="005F5F76">
        <w:t xml:space="preserve">The EESC welcomes the fact that the Commission proposal improves </w:t>
      </w:r>
      <w:r w:rsidRPr="005F5F76">
        <w:rPr>
          <w:b/>
        </w:rPr>
        <w:t>multi-level governance with its emphasis on shared management</w:t>
      </w:r>
      <w:r w:rsidRPr="005F5F76">
        <w:t>, enhancing the participation of civil society organisations and other stakeholders in the process of programming, implementing</w:t>
      </w:r>
      <w:r w:rsidRPr="005F5F76" w:rsidR="00650DD7">
        <w:t>, evaluati</w:t>
      </w:r>
      <w:r w:rsidRPr="005F5F76" w:rsidR="0039749B">
        <w:t>ng</w:t>
      </w:r>
      <w:r w:rsidRPr="005F5F76">
        <w:t xml:space="preserve"> and monitoring the use of the funds. However, the European Code of Conduct on Partnership </w:t>
      </w:r>
      <w:r w:rsidRPr="005F5F76" w:rsidR="003641F2">
        <w:t xml:space="preserve">(ECCP) </w:t>
      </w:r>
      <w:r w:rsidRPr="005F5F76">
        <w:t xml:space="preserve">should be fully respected at all levels and </w:t>
      </w:r>
      <w:r w:rsidRPr="005F5F76">
        <w:rPr>
          <w:b/>
        </w:rPr>
        <w:t>reinforced with strong guarantees and measures</w:t>
      </w:r>
      <w:r w:rsidRPr="005F5F76">
        <w:t xml:space="preserve"> ensuring its full implementation. </w:t>
      </w:r>
      <w:r w:rsidRPr="005F5F76" w:rsidR="003641F2">
        <w:t>Compliance with the ECCP</w:t>
      </w:r>
      <w:r w:rsidRPr="005F5F76" w:rsidR="00650DD7">
        <w:t xml:space="preserve"> should be considered </w:t>
      </w:r>
      <w:r w:rsidRPr="005F5F76" w:rsidR="00375979">
        <w:t>to be</w:t>
      </w:r>
      <w:r w:rsidRPr="005F5F76" w:rsidR="00650DD7">
        <w:t xml:space="preserve"> an enabling condition. </w:t>
      </w:r>
      <w:r w:rsidRPr="005F5F76">
        <w:t xml:space="preserve">This will empower stakeholders and civil society organisations to play a vital role </w:t>
      </w:r>
      <w:r w:rsidRPr="005F5F76">
        <w:rPr>
          <w:b/>
        </w:rPr>
        <w:t>as intermediary bodies</w:t>
      </w:r>
      <w:r w:rsidRPr="005F5F76">
        <w:t>, bringing projects closer to their final beneficiaries.</w:t>
      </w:r>
    </w:p>
    <w:p w:rsidRPr="005F5F76" w:rsidR="00650DD7" w:rsidP="00BA1A9E" w:rsidRDefault="00650DD7">
      <w:pPr>
        <w:ind w:left="567" w:hanging="567"/>
      </w:pPr>
    </w:p>
    <w:p w:rsidRPr="005F5F76" w:rsidR="00C15B40" w:rsidP="006074F0" w:rsidRDefault="00C15B40">
      <w:pPr>
        <w:pStyle w:val="Heading2"/>
        <w:ind w:left="567" w:hanging="567"/>
      </w:pPr>
      <w:r w:rsidRPr="005F5F76">
        <w:t xml:space="preserve">The EESC points out that at EU level there is no structured involvement of civil society organisations in the process of monitoring the implementation of cohesion policy. It therefore </w:t>
      </w:r>
      <w:r w:rsidRPr="005F5F76" w:rsidR="0079396B">
        <w:t xml:space="preserve">strongly </w:t>
      </w:r>
      <w:r w:rsidRPr="005F5F76">
        <w:t xml:space="preserve">recommends that the Commission </w:t>
      </w:r>
      <w:r w:rsidRPr="005F5F76">
        <w:rPr>
          <w:b/>
        </w:rPr>
        <w:t>establish a European Civil Society Cohesion Forum</w:t>
      </w:r>
      <w:r w:rsidRPr="005F5F76">
        <w:t xml:space="preserve"> with the participation of the social partners, civil society organisations and other stakeholders</w:t>
      </w:r>
      <w:r w:rsidRPr="005F5F76" w:rsidR="00DE25E6">
        <w:t xml:space="preserve"> </w:t>
      </w:r>
      <w:r w:rsidRPr="005F5F76" w:rsidR="007A0030">
        <w:t>that will</w:t>
      </w:r>
      <w:r w:rsidRPr="005F5F76" w:rsidR="00DE25E6">
        <w:t xml:space="preserve"> </w:t>
      </w:r>
      <w:r w:rsidRPr="005F5F76" w:rsidR="001F63C1">
        <w:t>consult</w:t>
      </w:r>
      <w:r w:rsidRPr="005F5F76" w:rsidR="00DE25E6">
        <w:t xml:space="preserve"> </w:t>
      </w:r>
      <w:r w:rsidRPr="005F5F76" w:rsidR="007A0030">
        <w:t xml:space="preserve">the social partners and CSOs </w:t>
      </w:r>
      <w:r w:rsidRPr="005F5F76" w:rsidR="001F63C1">
        <w:t xml:space="preserve">annually </w:t>
      </w:r>
      <w:r w:rsidRPr="005F5F76" w:rsidR="007A0030">
        <w:t>on the state of implementation of the cohesion policy throughout the programming cycle 2021-2027</w:t>
      </w:r>
      <w:r w:rsidRPr="005F5F76">
        <w:t>.</w:t>
      </w:r>
    </w:p>
    <w:p w:rsidRPr="005F5F76" w:rsidR="00650DD7" w:rsidP="00BA1A9E" w:rsidRDefault="00650DD7">
      <w:pPr>
        <w:ind w:left="567" w:hanging="567"/>
      </w:pPr>
    </w:p>
    <w:p w:rsidRPr="005F5F76" w:rsidR="00C15B40" w:rsidP="0004094A" w:rsidRDefault="00C15B40">
      <w:pPr>
        <w:pStyle w:val="Heading2"/>
        <w:ind w:left="567" w:hanging="567"/>
      </w:pPr>
      <w:r w:rsidRPr="005F5F76">
        <w:t xml:space="preserve">The EESC recommends that the Commission effectively </w:t>
      </w:r>
      <w:r w:rsidRPr="005F5F76">
        <w:rPr>
          <w:b/>
        </w:rPr>
        <w:t>mainstream the Sustainable Development Goals (SDGs)</w:t>
      </w:r>
      <w:r w:rsidRPr="005F5F76">
        <w:t xml:space="preserve"> in cohesion policy through the</w:t>
      </w:r>
      <w:r w:rsidRPr="005F5F76" w:rsidR="004202D7">
        <w:t xml:space="preserve"> CPR and the</w:t>
      </w:r>
      <w:r w:rsidRPr="005F5F76">
        <w:t xml:space="preserve"> ERDF and CF regulations, by ensuring their cross-cutting inclusion in all </w:t>
      </w:r>
      <w:r w:rsidRPr="005F5F76" w:rsidR="00FE4538">
        <w:t>priorities of</w:t>
      </w:r>
      <w:r w:rsidRPr="005F5F76">
        <w:t xml:space="preserve"> the funds, not only climate action.</w:t>
      </w:r>
    </w:p>
    <w:p w:rsidRPr="005F5F76" w:rsidR="00650DD7" w:rsidP="00BA1A9E" w:rsidRDefault="00650DD7">
      <w:pPr>
        <w:ind w:left="567" w:hanging="567"/>
      </w:pPr>
    </w:p>
    <w:p w:rsidRPr="005F5F76" w:rsidR="00C15B40" w:rsidP="0024003D" w:rsidRDefault="00C15B40">
      <w:pPr>
        <w:pStyle w:val="Heading2"/>
        <w:ind w:left="567" w:hanging="567"/>
      </w:pPr>
      <w:r w:rsidRPr="005F5F76">
        <w:t xml:space="preserve">The EESC proposes that </w:t>
      </w:r>
      <w:r w:rsidRPr="005F5F76">
        <w:rPr>
          <w:b/>
        </w:rPr>
        <w:t>sparsely populated areas, isolated areas, small islands and mountainous regions</w:t>
      </w:r>
      <w:r w:rsidRPr="005F5F76" w:rsidR="00F75CFA">
        <w:t xml:space="preserve">, in accordance with </w:t>
      </w:r>
      <w:r w:rsidRPr="005F5F76" w:rsidR="001F63C1">
        <w:t>A</w:t>
      </w:r>
      <w:r w:rsidRPr="005F5F76" w:rsidR="00F75CFA">
        <w:t xml:space="preserve">rticle 174 of the Treaty </w:t>
      </w:r>
      <w:r w:rsidRPr="005F5F76" w:rsidR="001F63C1">
        <w:t>on</w:t>
      </w:r>
      <w:r w:rsidRPr="005F5F76" w:rsidR="00F75CFA">
        <w:t xml:space="preserve"> the Functioning of the European Union,</w:t>
      </w:r>
      <w:r w:rsidRPr="005F5F76">
        <w:t xml:space="preserve"> be supported with the same thematic concentration requirements, scope of support and benefits, and with the same derogations, as the outermost regions.</w:t>
      </w:r>
      <w:r w:rsidRPr="005F5F76" w:rsidR="00F75CFA">
        <w:t xml:space="preserve"> Investment strategies should be oriented towards the objectives of macro-regions and territorial and cross-border cooperation, especially to address complex phenomena such as migration.</w:t>
      </w:r>
    </w:p>
    <w:p w:rsidRPr="005F5F76" w:rsidR="00650DD7" w:rsidP="00BA1A9E" w:rsidRDefault="00650DD7">
      <w:pPr>
        <w:ind w:left="567" w:hanging="567"/>
      </w:pPr>
    </w:p>
    <w:p w:rsidRPr="005F5F76" w:rsidR="00C15B40" w:rsidP="0004094A" w:rsidRDefault="00C15B40">
      <w:pPr>
        <w:pStyle w:val="Heading2"/>
        <w:ind w:left="567" w:hanging="567"/>
      </w:pPr>
      <w:r w:rsidRPr="005F5F76">
        <w:t xml:space="preserve">The EESC recommends that the </w:t>
      </w:r>
      <w:r w:rsidRPr="005F5F76">
        <w:rPr>
          <w:b/>
        </w:rPr>
        <w:t>European Territorial Cooperation (ETC)/Interreg budget be increased</w:t>
      </w:r>
      <w:r w:rsidRPr="005F5F76">
        <w:t xml:space="preserve"> for the new programming period in order to effectively fulfil its mission and objectives. The EESC also proposes providing the ERDF with enough support for the implementation of the cross-border mechanism. Moreover, the EESC believes that investment strategies should be directed towards the objectives of the macro and sea-basin regions.</w:t>
      </w:r>
    </w:p>
    <w:p w:rsidRPr="005F5F76" w:rsidR="00650DD7" w:rsidP="00BA1A9E" w:rsidRDefault="00650DD7">
      <w:pPr>
        <w:ind w:left="567" w:hanging="567"/>
      </w:pPr>
    </w:p>
    <w:p w:rsidRPr="005F5F76" w:rsidR="00C15B40" w:rsidP="0004094A" w:rsidRDefault="00C15B40">
      <w:pPr>
        <w:pStyle w:val="Heading2"/>
        <w:ind w:left="567" w:hanging="567"/>
      </w:pPr>
      <w:r w:rsidRPr="005F5F76">
        <w:t xml:space="preserve">The EESC asks the Commission to take other </w:t>
      </w:r>
      <w:r w:rsidRPr="005F5F76">
        <w:rPr>
          <w:b/>
        </w:rPr>
        <w:t>social indicators</w:t>
      </w:r>
      <w:r w:rsidRPr="005F5F76">
        <w:t xml:space="preserve"> into account, in addition to gross national income (GNI) per capita, in order to classify Member States according to the thematic concentration requirements that apply to them.</w:t>
      </w:r>
    </w:p>
    <w:p w:rsidRPr="005F5F76" w:rsidR="00650DD7" w:rsidP="00BA1A9E" w:rsidRDefault="00650DD7">
      <w:pPr>
        <w:ind w:left="567" w:hanging="567"/>
      </w:pPr>
    </w:p>
    <w:p w:rsidRPr="005F5F76" w:rsidR="00C15B40" w:rsidP="0004094A" w:rsidRDefault="00C15B40">
      <w:pPr>
        <w:pStyle w:val="Heading2"/>
        <w:ind w:left="567" w:hanging="567"/>
      </w:pPr>
      <w:r w:rsidRPr="005F5F76">
        <w:t>The EESC supports the concept of thematic concentration but ask</w:t>
      </w:r>
      <w:r w:rsidRPr="005F5F76" w:rsidR="00B86045">
        <w:t>s</w:t>
      </w:r>
      <w:r w:rsidRPr="005F5F76">
        <w:t xml:space="preserve"> the Commission </w:t>
      </w:r>
      <w:r w:rsidRPr="005F5F76">
        <w:rPr>
          <w:b/>
        </w:rPr>
        <w:t xml:space="preserve">to balance distribution </w:t>
      </w:r>
      <w:r w:rsidRPr="005F5F76">
        <w:t>of the thematic concentration requirements in investments among policy objectives (POs), as the allocation for POs 3 to 5 seems to be insufficient for tackling socio-economic needs and for building a Europe that is closer to its citizens.</w:t>
      </w:r>
    </w:p>
    <w:p w:rsidRPr="005F5F76" w:rsidR="00650DD7" w:rsidP="00BA1A9E" w:rsidRDefault="00650DD7">
      <w:pPr>
        <w:ind w:left="567" w:hanging="567"/>
      </w:pPr>
    </w:p>
    <w:p w:rsidRPr="005F5F76" w:rsidR="00C15B40" w:rsidP="006074F0" w:rsidRDefault="00C15B40">
      <w:pPr>
        <w:pStyle w:val="Heading2"/>
        <w:ind w:left="567" w:hanging="567"/>
      </w:pPr>
      <w:r w:rsidRPr="005F5F76">
        <w:t xml:space="preserve">The EESC regrets that the Commission proposals for all regulations have excluded the horizontal incorporation of </w:t>
      </w:r>
      <w:r w:rsidRPr="005F5F76">
        <w:rPr>
          <w:b/>
        </w:rPr>
        <w:t>equality, non-discrimination and accessibility for persons with disabilities</w:t>
      </w:r>
      <w:r w:rsidRPr="005F5F76">
        <w:t xml:space="preserve">. It therefore </w:t>
      </w:r>
      <w:r w:rsidRPr="005F5F76" w:rsidR="008E7536">
        <w:t xml:space="preserve">strongly </w:t>
      </w:r>
      <w:r w:rsidRPr="005F5F76">
        <w:t xml:space="preserve">recommends that Article 7 of the current </w:t>
      </w:r>
      <w:r w:rsidRPr="005F5F76" w:rsidR="00A455FE">
        <w:t>Common Provisions Regulation (</w:t>
      </w:r>
      <w:r w:rsidRPr="005F5F76">
        <w:t>CPR</w:t>
      </w:r>
      <w:r w:rsidRPr="005F5F76" w:rsidR="00A455FE">
        <w:t>)</w:t>
      </w:r>
      <w:r w:rsidRPr="005F5F76">
        <w:t xml:space="preserve"> 2014- 2020 be incorporated in the proposed new CPR, and that this principle be directly embedded in the main text of the proposed ERDF and CF regulation.</w:t>
      </w:r>
      <w:r w:rsidRPr="005F5F76" w:rsidR="00E047C4">
        <w:t xml:space="preserve"> Also, the EESC firmly </w:t>
      </w:r>
      <w:r w:rsidRPr="005F5F76" w:rsidR="001F63C1">
        <w:t>recommends</w:t>
      </w:r>
      <w:r w:rsidRPr="005F5F76" w:rsidR="00A75F75">
        <w:t xml:space="preserve"> </w:t>
      </w:r>
      <w:r w:rsidRPr="005F5F76" w:rsidR="00E047C4">
        <w:t>includ</w:t>
      </w:r>
      <w:r w:rsidRPr="005F5F76" w:rsidR="001F63C1">
        <w:t>ing</w:t>
      </w:r>
      <w:r w:rsidRPr="005F5F76" w:rsidR="00E047C4">
        <w:t xml:space="preserve"> accessibility for persons with disabilities in Article 67 of the proposed CPR on selection of operations.</w:t>
      </w:r>
    </w:p>
    <w:p w:rsidRPr="005F5F76" w:rsidR="00650DD7" w:rsidP="00BA1A9E" w:rsidRDefault="00650DD7">
      <w:pPr>
        <w:ind w:left="567" w:hanging="567"/>
      </w:pPr>
    </w:p>
    <w:p w:rsidRPr="005F5F76" w:rsidR="00C15B40" w:rsidP="0004094A" w:rsidRDefault="00C15B40">
      <w:pPr>
        <w:pStyle w:val="Heading2"/>
        <w:ind w:left="567" w:hanging="567"/>
      </w:pPr>
      <w:r w:rsidRPr="005F5F76">
        <w:t xml:space="preserve">The EESC underlines that the </w:t>
      </w:r>
      <w:r w:rsidRPr="005F5F76">
        <w:rPr>
          <w:b/>
        </w:rPr>
        <w:t>United Nations Convention on the Rights of Persons with Disabilities (UNCRPD) should be fully embedded in the main text</w:t>
      </w:r>
      <w:r w:rsidRPr="005F5F76">
        <w:t xml:space="preserve"> of the proposed ERDF and CF regulation as well as in the CPR regulation. The UNCRPD in particular should be fully included in the legal basis of the ERDF and CF regulation and accessibility for persons with disabilities should be made a mandatory eligibility criterion.</w:t>
      </w:r>
    </w:p>
    <w:p w:rsidRPr="005F5F76" w:rsidR="00650DD7" w:rsidP="00BA1A9E" w:rsidRDefault="00650DD7">
      <w:pPr>
        <w:ind w:left="567" w:hanging="567"/>
      </w:pPr>
    </w:p>
    <w:p w:rsidRPr="005F5F76" w:rsidR="00C15B40" w:rsidP="0004094A" w:rsidRDefault="00C15B40">
      <w:pPr>
        <w:pStyle w:val="Heading2"/>
        <w:ind w:left="567" w:hanging="567"/>
      </w:pPr>
      <w:r w:rsidRPr="005F5F76">
        <w:t xml:space="preserve">The EESC asks the Commission to ensure that building or renovating segregated institutional care facilities </w:t>
      </w:r>
      <w:r w:rsidRPr="005F5F76">
        <w:rPr>
          <w:b/>
        </w:rPr>
        <w:t>be excluded from the scope</w:t>
      </w:r>
      <w:r w:rsidRPr="005F5F76">
        <w:t xml:space="preserve"> of support under the ERDF and CF. Instead, social inclusion through the </w:t>
      </w:r>
      <w:r w:rsidRPr="005F5F76">
        <w:rPr>
          <w:b/>
        </w:rPr>
        <w:t>transition from institutional to community-based care</w:t>
      </w:r>
      <w:r w:rsidRPr="005F5F76">
        <w:t xml:space="preserve"> must be promoted.</w:t>
      </w:r>
    </w:p>
    <w:p w:rsidRPr="005F5F76" w:rsidR="00650DD7" w:rsidP="00BA1A9E" w:rsidRDefault="00650DD7">
      <w:pPr>
        <w:ind w:left="567" w:hanging="567"/>
      </w:pPr>
    </w:p>
    <w:p w:rsidRPr="005F5F76" w:rsidR="00C15B40" w:rsidP="0004094A" w:rsidRDefault="00C15B40">
      <w:pPr>
        <w:pStyle w:val="Heading2"/>
        <w:ind w:left="567" w:hanging="567"/>
      </w:pPr>
      <w:r w:rsidRPr="005F5F76">
        <w:t xml:space="preserve">The EESC welcomes the improvement in the </w:t>
      </w:r>
      <w:r w:rsidRPr="005F5F76">
        <w:rPr>
          <w:b/>
        </w:rPr>
        <w:t>coordination of the different funds</w:t>
      </w:r>
      <w:r w:rsidRPr="005F5F76">
        <w:t>, as well as the link between these and the European Semester and the Reform Support Programmes.</w:t>
      </w:r>
    </w:p>
    <w:p w:rsidRPr="005F5F76" w:rsidR="00650DD7" w:rsidP="00BA1A9E" w:rsidRDefault="00650DD7">
      <w:pPr>
        <w:ind w:left="567" w:hanging="567"/>
      </w:pPr>
    </w:p>
    <w:p w:rsidRPr="005F5F76" w:rsidR="00C15B40" w:rsidP="0024003D" w:rsidRDefault="00C15B40">
      <w:pPr>
        <w:pStyle w:val="Heading2"/>
        <w:ind w:left="567" w:hanging="567"/>
      </w:pPr>
      <w:r w:rsidRPr="005F5F76">
        <w:t xml:space="preserve">The </w:t>
      </w:r>
      <w:r w:rsidRPr="005F5F76" w:rsidR="009E45C7">
        <w:t xml:space="preserve">EESC considers that the </w:t>
      </w:r>
      <w:r w:rsidRPr="005F5F76">
        <w:t xml:space="preserve">inclusion of </w:t>
      </w:r>
      <w:r w:rsidRPr="005F5F76">
        <w:rPr>
          <w:b/>
        </w:rPr>
        <w:t>macroeconomic conditionalities</w:t>
      </w:r>
      <w:r w:rsidRPr="005F5F76" w:rsidR="00C55A1C">
        <w:t>,</w:t>
      </w:r>
      <w:r w:rsidRPr="005F5F76">
        <w:t xml:space="preserve"> </w:t>
      </w:r>
      <w:r w:rsidRPr="005F5F76" w:rsidR="008C0C2F">
        <w:t xml:space="preserve">which are decided at national and European level, creates strong barriers to regions, local municipalities, other stakeholders and citizens when using the funds, and therefore the EESC </w:t>
      </w:r>
      <w:r w:rsidRPr="005F5F76" w:rsidR="00A4274C">
        <w:t>completely</w:t>
      </w:r>
      <w:r w:rsidRPr="005F5F76" w:rsidR="008C0C2F">
        <w:t xml:space="preserve"> rejects them and asks the </w:t>
      </w:r>
      <w:r w:rsidRPr="005F5F76" w:rsidR="00635849">
        <w:t>Commission</w:t>
      </w:r>
      <w:r w:rsidRPr="005F5F76" w:rsidR="008C0C2F">
        <w:t xml:space="preserve"> to reconsider the inclusion</w:t>
      </w:r>
      <w:r w:rsidRPr="005F5F76" w:rsidR="00A4274C">
        <w:t xml:space="preserve"> criteria</w:t>
      </w:r>
      <w:r w:rsidRPr="005F5F76" w:rsidR="006336BD">
        <w:t xml:space="preserve"> </w:t>
      </w:r>
    </w:p>
    <w:p w:rsidRPr="005F5F76" w:rsidR="00650DD7" w:rsidP="00BA1A9E" w:rsidRDefault="00650DD7">
      <w:pPr>
        <w:ind w:left="567" w:hanging="567"/>
      </w:pPr>
    </w:p>
    <w:p w:rsidRPr="005F5F76" w:rsidR="00C15B40" w:rsidP="0004094A" w:rsidRDefault="00C15B40">
      <w:pPr>
        <w:pStyle w:val="Heading2"/>
        <w:ind w:left="567" w:hanging="567"/>
      </w:pPr>
      <w:r w:rsidRPr="005F5F76">
        <w:t>The EESC considers that the implementation of the E</w:t>
      </w:r>
      <w:r w:rsidRPr="005F5F76">
        <w:rPr>
          <w:b/>
        </w:rPr>
        <w:t>uropean Pillar of Social Rights (EPSR) needs to be prioritised in cohesion policy</w:t>
      </w:r>
      <w:r w:rsidRPr="005F5F76">
        <w:t xml:space="preserve">, not only in the ESF+. It </w:t>
      </w:r>
      <w:r w:rsidRPr="005F5F76" w:rsidR="00FE4538">
        <w:t xml:space="preserve">therefore </w:t>
      </w:r>
      <w:r w:rsidRPr="005F5F76" w:rsidR="00C55A1C">
        <w:t>fi</w:t>
      </w:r>
      <w:r w:rsidRPr="005F5F76" w:rsidR="00FE4538">
        <w:t>rmly</w:t>
      </w:r>
      <w:r w:rsidRPr="005F5F76">
        <w:t xml:space="preserve"> recommends that a minimum of 10% be allocated to PO 4 of the ERDF, </w:t>
      </w:r>
      <w:r w:rsidRPr="005F5F76">
        <w:rPr>
          <w:b/>
        </w:rPr>
        <w:t xml:space="preserve">establishing the Social Sustainability </w:t>
      </w:r>
      <w:r w:rsidRPr="005F5F76" w:rsidR="00EC0457">
        <w:rPr>
          <w:b/>
        </w:rPr>
        <w:t>an</w:t>
      </w:r>
      <w:r w:rsidRPr="005F5F76" w:rsidR="00055C9D">
        <w:rPr>
          <w:b/>
        </w:rPr>
        <w:t>d</w:t>
      </w:r>
      <w:r w:rsidRPr="005F5F76" w:rsidR="00EC0457">
        <w:rPr>
          <w:b/>
        </w:rPr>
        <w:t xml:space="preserve"> Accessibility </w:t>
      </w:r>
      <w:r w:rsidRPr="005F5F76">
        <w:rPr>
          <w:b/>
        </w:rPr>
        <w:t>Regional Initiative (SS</w:t>
      </w:r>
      <w:r w:rsidRPr="005F5F76" w:rsidR="00645DD1">
        <w:rPr>
          <w:b/>
        </w:rPr>
        <w:t>A</w:t>
      </w:r>
      <w:r w:rsidRPr="005F5F76">
        <w:rPr>
          <w:b/>
        </w:rPr>
        <w:t>RI</w:t>
      </w:r>
      <w:r w:rsidRPr="005F5F76" w:rsidR="00EF7744">
        <w:rPr>
          <w:b/>
        </w:rPr>
        <w:t>)</w:t>
      </w:r>
      <w:r w:rsidRPr="005F5F76" w:rsidR="00EF7744">
        <w:t>.</w:t>
      </w:r>
    </w:p>
    <w:p w:rsidRPr="005F5F76" w:rsidR="00761BF3" w:rsidP="00BA1A9E" w:rsidRDefault="00761BF3">
      <w:pPr>
        <w:ind w:left="720" w:hanging="720"/>
      </w:pPr>
    </w:p>
    <w:p w:rsidRPr="005F5F76" w:rsidR="005E0ED3" w:rsidP="00BA1A9E" w:rsidRDefault="00780F33">
      <w:pPr>
        <w:pStyle w:val="Heading1"/>
        <w:keepNext/>
        <w:keepLines/>
        <w:ind w:left="567" w:hanging="567"/>
        <w:rPr>
          <w:b/>
        </w:rPr>
      </w:pPr>
      <w:r w:rsidRPr="005F5F76">
        <w:rPr>
          <w:b/>
        </w:rPr>
        <w:t xml:space="preserve">General </w:t>
      </w:r>
      <w:r w:rsidRPr="005F5F76" w:rsidR="00741887">
        <w:rPr>
          <w:b/>
        </w:rPr>
        <w:t>c</w:t>
      </w:r>
      <w:r w:rsidRPr="005F5F76" w:rsidR="005E0ED3">
        <w:rPr>
          <w:b/>
        </w:rPr>
        <w:t>omments</w:t>
      </w:r>
    </w:p>
    <w:p w:rsidRPr="005F5F76" w:rsidR="002F35E5" w:rsidP="00BA1A9E" w:rsidRDefault="002F35E5">
      <w:pPr>
        <w:keepNext/>
        <w:ind w:left="720" w:hanging="720"/>
      </w:pPr>
    </w:p>
    <w:p w:rsidRPr="005F5F76" w:rsidR="00A84415" w:rsidP="0024003D" w:rsidRDefault="00B96890">
      <w:pPr>
        <w:pStyle w:val="Heading2"/>
        <w:ind w:left="567" w:hanging="567"/>
      </w:pPr>
      <w:r w:rsidRPr="005F5F76">
        <w:t xml:space="preserve">The </w:t>
      </w:r>
      <w:r w:rsidRPr="005F5F76" w:rsidR="00A84415">
        <w:t xml:space="preserve">EESC </w:t>
      </w:r>
      <w:r w:rsidRPr="005F5F76">
        <w:t>till</w:t>
      </w:r>
      <w:r w:rsidRPr="005F5F76" w:rsidR="00A84415">
        <w:t xml:space="preserve"> considers cohesion policy </w:t>
      </w:r>
      <w:r w:rsidRPr="005F5F76">
        <w:t>– as it has done over many years –</w:t>
      </w:r>
      <w:r w:rsidRPr="005F5F76" w:rsidR="00A84415">
        <w:t xml:space="preserve"> one of the fundamental pillars </w:t>
      </w:r>
      <w:r w:rsidRPr="005F5F76">
        <w:t>for</w:t>
      </w:r>
      <w:r w:rsidRPr="005F5F76" w:rsidR="00A84415">
        <w:t xml:space="preserve"> achieving EU integration, and therefore</w:t>
      </w:r>
      <w:r w:rsidRPr="005F5F76" w:rsidR="00C715C4">
        <w:t xml:space="preserve"> </w:t>
      </w:r>
      <w:r w:rsidRPr="005F5F76" w:rsidR="00A84415">
        <w:t>is of the opinion that at times of uncertaint</w:t>
      </w:r>
      <w:r w:rsidRPr="005F5F76" w:rsidR="005432CB">
        <w:t>y</w:t>
      </w:r>
      <w:r w:rsidRPr="005F5F76" w:rsidR="00A84415">
        <w:t xml:space="preserve"> and the rise of populism, nationalism and euroscepticism</w:t>
      </w:r>
      <w:r w:rsidRPr="005F5F76">
        <w:t>,</w:t>
      </w:r>
      <w:r w:rsidRPr="005F5F76" w:rsidR="00A84415">
        <w:t xml:space="preserve"> cohesion policy is the real connecting process </w:t>
      </w:r>
      <w:r w:rsidRPr="005F5F76">
        <w:t>for</w:t>
      </w:r>
      <w:r w:rsidRPr="005F5F76" w:rsidR="00A84415">
        <w:t xml:space="preserve"> citizens </w:t>
      </w:r>
      <w:r w:rsidRPr="005F5F76" w:rsidR="005432CB">
        <w:t>in</w:t>
      </w:r>
      <w:r w:rsidRPr="005F5F76" w:rsidR="00A84415">
        <w:t xml:space="preserve"> the EU project.</w:t>
      </w:r>
    </w:p>
    <w:p w:rsidRPr="005F5F76" w:rsidR="00A84415" w:rsidP="00A84415" w:rsidRDefault="00A84415">
      <w:pPr>
        <w:keepNext/>
        <w:ind w:left="720" w:hanging="720"/>
      </w:pPr>
    </w:p>
    <w:p w:rsidRPr="005F5F76" w:rsidR="00A84415" w:rsidP="0024003D" w:rsidRDefault="00A84415">
      <w:pPr>
        <w:pStyle w:val="Heading2"/>
        <w:ind w:left="567" w:hanging="567"/>
      </w:pPr>
      <w:r w:rsidRPr="005F5F76">
        <w:t>The EESC underlines that the cohesion policy and its financing instruments could have been used to present the European citizens with a new</w:t>
      </w:r>
      <w:r w:rsidRPr="005F5F76" w:rsidR="00B96890">
        <w:t>,</w:t>
      </w:r>
      <w:r w:rsidRPr="005F5F76">
        <w:t xml:space="preserve"> positive narrative for the EU project.</w:t>
      </w:r>
    </w:p>
    <w:p w:rsidRPr="005F5F76" w:rsidR="001A2670" w:rsidP="00BA1A9E" w:rsidRDefault="001A2670">
      <w:pPr>
        <w:ind w:left="720" w:hanging="720"/>
      </w:pPr>
    </w:p>
    <w:p w:rsidRPr="005F5F76" w:rsidR="00A40381" w:rsidP="00BA1A9E" w:rsidRDefault="007B59FE">
      <w:pPr>
        <w:pStyle w:val="Heading2"/>
        <w:ind w:left="567" w:hanging="567"/>
      </w:pPr>
      <w:r w:rsidRPr="005F5F76">
        <w:t xml:space="preserve">The EESC </w:t>
      </w:r>
      <w:r w:rsidRPr="005F5F76" w:rsidR="005324A2">
        <w:t xml:space="preserve">therefore </w:t>
      </w:r>
      <w:r w:rsidRPr="005F5F76">
        <w:t xml:space="preserve">points out that </w:t>
      </w:r>
      <w:r w:rsidRPr="005F5F76" w:rsidR="000D2867">
        <w:t xml:space="preserve">the Commission's proposal has not been politically ambitious </w:t>
      </w:r>
      <w:r w:rsidRPr="005F5F76" w:rsidR="00B96890">
        <w:t xml:space="preserve">enough, </w:t>
      </w:r>
      <w:r w:rsidRPr="005F5F76" w:rsidR="000D2867">
        <w:t xml:space="preserve">and </w:t>
      </w:r>
      <w:r w:rsidRPr="005F5F76" w:rsidR="00B548E5">
        <w:t xml:space="preserve">this is translated </w:t>
      </w:r>
      <w:r w:rsidRPr="005F5F76" w:rsidR="00B96890">
        <w:t>in practice</w:t>
      </w:r>
      <w:r w:rsidRPr="005F5F76" w:rsidR="00FF7B15">
        <w:t xml:space="preserve"> </w:t>
      </w:r>
      <w:r w:rsidRPr="005F5F76" w:rsidR="00B548E5">
        <w:t>in the cuts</w:t>
      </w:r>
      <w:r w:rsidRPr="005F5F76">
        <w:t>, at constant prices, of 12%</w:t>
      </w:r>
      <w:r w:rsidRPr="005F5F76" w:rsidR="00B548E5">
        <w:t xml:space="preserve"> and 46%</w:t>
      </w:r>
      <w:r w:rsidRPr="005F5F76">
        <w:t xml:space="preserve"> </w:t>
      </w:r>
      <w:r w:rsidRPr="005F5F76" w:rsidR="005324A2">
        <w:t>to</w:t>
      </w:r>
      <w:r w:rsidRPr="005F5F76" w:rsidR="00B0094E">
        <w:t xml:space="preserve"> </w:t>
      </w:r>
      <w:r w:rsidRPr="005F5F76">
        <w:t xml:space="preserve">the ERDF and CF </w:t>
      </w:r>
      <w:r w:rsidRPr="005F5F76" w:rsidR="00B548E5">
        <w:t xml:space="preserve">budgets respectively </w:t>
      </w:r>
      <w:r w:rsidRPr="005F5F76">
        <w:t xml:space="preserve">in the proposal for the MFF 2021-2027 with respect to current budgets. </w:t>
      </w:r>
      <w:r w:rsidRPr="005F5F76" w:rsidR="00E75B23">
        <w:t xml:space="preserve">The cuts are proposed even though the Commission recognises, in the explanatory memorandum, that </w:t>
      </w:r>
      <w:r w:rsidRPr="005F5F76" w:rsidR="005324A2">
        <w:t>"</w:t>
      </w:r>
      <w:r w:rsidRPr="005F5F76" w:rsidR="00E75B23">
        <w:t>the ERDF and CF represent 50% of public investment in many countries</w:t>
      </w:r>
      <w:r w:rsidRPr="005F5F76" w:rsidR="005324A2">
        <w:t>"</w:t>
      </w:r>
      <w:r w:rsidRPr="005F5F76" w:rsidR="00E75B23">
        <w:t xml:space="preserve">. Thus they will have a negative effect on those </w:t>
      </w:r>
      <w:r w:rsidRPr="005F5F76" w:rsidR="00A40381">
        <w:t xml:space="preserve">countries </w:t>
      </w:r>
      <w:r w:rsidRPr="005F5F76" w:rsidR="00E75B23">
        <w:t xml:space="preserve">that </w:t>
      </w:r>
      <w:r w:rsidRPr="005F5F76" w:rsidR="00A40381">
        <w:t>are stabilising their economies</w:t>
      </w:r>
      <w:r w:rsidRPr="005F5F76" w:rsidR="007B542F">
        <w:t xml:space="preserve"> as they</w:t>
      </w:r>
      <w:r w:rsidRPr="005F5F76" w:rsidR="00B0094E">
        <w:t xml:space="preserve"> </w:t>
      </w:r>
      <w:r w:rsidRPr="005F5F76" w:rsidR="00A40381">
        <w:t xml:space="preserve">recover from the crisis and </w:t>
      </w:r>
      <w:r w:rsidRPr="005F5F76" w:rsidR="007B542F">
        <w:t xml:space="preserve">as their citizens try to cope with </w:t>
      </w:r>
      <w:r w:rsidRPr="005F5F76" w:rsidR="00A40381">
        <w:t>austerity measures</w:t>
      </w:r>
      <w:r w:rsidRPr="005F5F76" w:rsidR="008C49CC">
        <w:t>.</w:t>
      </w:r>
      <w:r w:rsidRPr="005F5F76" w:rsidR="007B542F">
        <w:t xml:space="preserve"> In many countries</w:t>
      </w:r>
      <w:r w:rsidRPr="005F5F76" w:rsidR="00A40381">
        <w:t xml:space="preserve"> poverty and inequality levels </w:t>
      </w:r>
      <w:r w:rsidRPr="005F5F76" w:rsidR="007B542F">
        <w:t xml:space="preserve">remain </w:t>
      </w:r>
      <w:r w:rsidRPr="005F5F76" w:rsidR="00A40381">
        <w:t>high</w:t>
      </w:r>
      <w:r w:rsidRPr="005F5F76" w:rsidR="007B542F">
        <w:t xml:space="preserve"> and in some cases are increasing</w:t>
      </w:r>
      <w:r w:rsidRPr="005F5F76" w:rsidR="00A40381">
        <w:t xml:space="preserve">, with </w:t>
      </w:r>
      <w:r w:rsidRPr="005F5F76" w:rsidR="00EF753B">
        <w:t>substantial</w:t>
      </w:r>
      <w:r w:rsidRPr="005F5F76" w:rsidR="00A40381">
        <w:t xml:space="preserve"> divergences between countries</w:t>
      </w:r>
      <w:r w:rsidRPr="005F5F76" w:rsidR="00F60903">
        <w:t xml:space="preserve">, </w:t>
      </w:r>
      <w:r w:rsidRPr="005F5F76" w:rsidR="008F32A1">
        <w:t xml:space="preserve">and </w:t>
      </w:r>
      <w:r w:rsidRPr="005F5F76" w:rsidR="00F60903">
        <w:t>among and within regions and different popul</w:t>
      </w:r>
      <w:r w:rsidRPr="005F5F76" w:rsidR="00B0094E">
        <w:t>a</w:t>
      </w:r>
      <w:r w:rsidRPr="005F5F76" w:rsidR="00F60903">
        <w:t>tion groups</w:t>
      </w:r>
      <w:r w:rsidRPr="005F5F76" w:rsidR="00B0094E">
        <w:t>,</w:t>
      </w:r>
      <w:r w:rsidRPr="005F5F76" w:rsidR="00F60903">
        <w:t xml:space="preserve"> </w:t>
      </w:r>
      <w:r w:rsidRPr="005F5F76" w:rsidR="00861BAC">
        <w:t xml:space="preserve">particularly as regards </w:t>
      </w:r>
      <w:r w:rsidRPr="005F5F76" w:rsidR="00F60903">
        <w:t xml:space="preserve">the social indicators related to women, </w:t>
      </w:r>
      <w:r w:rsidRPr="005F5F76" w:rsidR="00B0094E">
        <w:t xml:space="preserve">the </w:t>
      </w:r>
      <w:r w:rsidRPr="005F5F76" w:rsidR="00F60903">
        <w:t xml:space="preserve">Roma, persons with disabilities, </w:t>
      </w:r>
      <w:r w:rsidRPr="005F5F76" w:rsidR="00B0094E">
        <w:t xml:space="preserve">the </w:t>
      </w:r>
      <w:r w:rsidRPr="005F5F76" w:rsidR="00F60903">
        <w:t>elderly</w:t>
      </w:r>
      <w:r w:rsidRPr="005F5F76" w:rsidR="00B0094E">
        <w:t>,</w:t>
      </w:r>
      <w:r w:rsidRPr="005F5F76" w:rsidR="00F60903">
        <w:t xml:space="preserve"> etc.</w:t>
      </w:r>
    </w:p>
    <w:p w:rsidRPr="005F5F76" w:rsidR="001A2670" w:rsidP="0024003D" w:rsidRDefault="001A2670"/>
    <w:p w:rsidRPr="005F5F76" w:rsidR="00F60903" w:rsidP="00BA1A9E" w:rsidRDefault="00861BAC">
      <w:pPr>
        <w:pStyle w:val="Heading2"/>
        <w:ind w:left="567" w:hanging="567"/>
      </w:pPr>
      <w:r w:rsidRPr="005F5F76">
        <w:t>G</w:t>
      </w:r>
      <w:r w:rsidRPr="005F5F76" w:rsidR="00FD564E">
        <w:t xml:space="preserve">iven the paramount importance of both the ERDF and the </w:t>
      </w:r>
      <w:r w:rsidRPr="005F5F76" w:rsidR="00CF1F82">
        <w:t>CF</w:t>
      </w:r>
      <w:r w:rsidRPr="005F5F76" w:rsidR="00FD564E">
        <w:t xml:space="preserve"> for the </w:t>
      </w:r>
      <w:r w:rsidRPr="005F5F76" w:rsidR="009C4239">
        <w:t>economic and social development and cohesion of European regions</w:t>
      </w:r>
      <w:r w:rsidRPr="005F5F76" w:rsidR="005B2E38">
        <w:t xml:space="preserve">, </w:t>
      </w:r>
      <w:r w:rsidRPr="005F5F76" w:rsidR="00B0094E">
        <w:t xml:space="preserve">the </w:t>
      </w:r>
      <w:r w:rsidRPr="005F5F76" w:rsidR="005B2E38">
        <w:t xml:space="preserve">EESC </w:t>
      </w:r>
      <w:r w:rsidRPr="005F5F76" w:rsidR="009C4239">
        <w:t xml:space="preserve">requests </w:t>
      </w:r>
      <w:r w:rsidRPr="005F5F76" w:rsidR="007B59FE">
        <w:t xml:space="preserve">that the </w:t>
      </w:r>
      <w:r w:rsidRPr="005F5F76" w:rsidR="007B59FE">
        <w:rPr>
          <w:b/>
        </w:rPr>
        <w:t>financing of cohesion policies be maintained</w:t>
      </w:r>
      <w:r w:rsidRPr="005F5F76" w:rsidR="007B59FE">
        <w:t xml:space="preserve"> in the MFF 2021-2027, a</w:t>
      </w:r>
      <w:r w:rsidRPr="005F5F76" w:rsidR="005B2E38">
        <w:t>t least with the same resources</w:t>
      </w:r>
      <w:r w:rsidRPr="005F5F76" w:rsidR="007B59FE">
        <w:t xml:space="preserve"> at constant prices as in the current financial framework</w:t>
      </w:r>
      <w:r w:rsidRPr="005F5F76" w:rsidR="00D06138">
        <w:rPr>
          <w:rStyle w:val="FootnoteReference"/>
        </w:rPr>
        <w:footnoteReference w:id="4"/>
      </w:r>
      <w:r w:rsidRPr="005F5F76" w:rsidR="007B59FE">
        <w:t>.</w:t>
      </w:r>
    </w:p>
    <w:p w:rsidRPr="005F5F76" w:rsidR="001A2670" w:rsidP="00BA1A9E" w:rsidRDefault="001A2670">
      <w:pPr>
        <w:ind w:left="720" w:hanging="720"/>
      </w:pPr>
    </w:p>
    <w:p w:rsidRPr="005F5F76" w:rsidR="00F60903" w:rsidP="006074F0" w:rsidRDefault="00F97706">
      <w:pPr>
        <w:pStyle w:val="Heading2"/>
        <w:ind w:left="567" w:hanging="567"/>
      </w:pPr>
      <w:r w:rsidRPr="005F5F76">
        <w:t>The Commission</w:t>
      </w:r>
      <w:r w:rsidRPr="005F5F76" w:rsidR="000D2867">
        <w:t>'s proposal</w:t>
      </w:r>
      <w:r w:rsidRPr="005F5F76">
        <w:t xml:space="preserve"> </w:t>
      </w:r>
      <w:r w:rsidRPr="005F5F76" w:rsidR="000D2867">
        <w:rPr>
          <w:b/>
        </w:rPr>
        <w:t xml:space="preserve">to decrease the </w:t>
      </w:r>
      <w:r w:rsidRPr="005F5F76">
        <w:rPr>
          <w:b/>
        </w:rPr>
        <w:t xml:space="preserve">co-financing </w:t>
      </w:r>
      <w:r w:rsidRPr="005F5F76" w:rsidR="00B267A0">
        <w:rPr>
          <w:b/>
        </w:rPr>
        <w:t>rates</w:t>
      </w:r>
      <w:r w:rsidRPr="005F5F76">
        <w:t xml:space="preserve"> for </w:t>
      </w:r>
      <w:r w:rsidRPr="005F5F76" w:rsidR="000D2867">
        <w:t>the three categories</w:t>
      </w:r>
      <w:r w:rsidRPr="005F5F76" w:rsidR="000D2867">
        <w:rPr>
          <w:rStyle w:val="FootnoteReference"/>
        </w:rPr>
        <w:footnoteReference w:id="5"/>
      </w:r>
      <w:r w:rsidRPr="005F5F76" w:rsidR="000D2867">
        <w:t xml:space="preserve"> of regions undermines the capacity to access and utilise the funds on equal terms</w:t>
      </w:r>
      <w:r w:rsidRPr="005F5F76" w:rsidR="00B267A0">
        <w:t>,</w:t>
      </w:r>
      <w:r w:rsidRPr="005F5F76" w:rsidDel="000D2867" w:rsidR="000D2867">
        <w:t xml:space="preserve"> </w:t>
      </w:r>
      <w:r w:rsidRPr="005F5F76">
        <w:t>especially for those Member States with greater spending difficulties and those that have been hardest hit by the crisis.</w:t>
      </w:r>
    </w:p>
    <w:p w:rsidRPr="005F5F76" w:rsidR="001A2670" w:rsidP="00BA1A9E" w:rsidRDefault="001A2670">
      <w:pPr>
        <w:ind w:left="720" w:hanging="720"/>
      </w:pPr>
    </w:p>
    <w:p w:rsidRPr="005F5F76" w:rsidR="00F60903" w:rsidP="00BA1A9E" w:rsidRDefault="00F60903">
      <w:pPr>
        <w:pStyle w:val="Heading2"/>
        <w:ind w:left="567" w:hanging="567"/>
      </w:pPr>
      <w:r w:rsidRPr="005F5F76">
        <w:t xml:space="preserve">The EESC supports </w:t>
      </w:r>
      <w:r w:rsidRPr="005F5F76" w:rsidR="00F97706">
        <w:t xml:space="preserve">the </w:t>
      </w:r>
      <w:r w:rsidRPr="005F5F76">
        <w:t xml:space="preserve">efforts </w:t>
      </w:r>
      <w:r w:rsidRPr="005F5F76" w:rsidR="00B73A83">
        <w:t>to</w:t>
      </w:r>
      <w:r w:rsidRPr="005F5F76" w:rsidR="00DB459B">
        <w:t xml:space="preserve"> </w:t>
      </w:r>
      <w:r w:rsidRPr="005F5F76" w:rsidR="00DB459B">
        <w:rPr>
          <w:b/>
        </w:rPr>
        <w:t>simplif</w:t>
      </w:r>
      <w:r w:rsidRPr="005F5F76" w:rsidR="00B73A83">
        <w:rPr>
          <w:b/>
        </w:rPr>
        <w:t>y</w:t>
      </w:r>
      <w:r w:rsidRPr="005F5F76" w:rsidR="00DB459B">
        <w:t xml:space="preserve"> cohesion policy and </w:t>
      </w:r>
      <w:r w:rsidRPr="005F5F76" w:rsidR="00F97706">
        <w:t xml:space="preserve">welcomes the reduction in </w:t>
      </w:r>
      <w:r w:rsidRPr="005F5F76" w:rsidR="00DB459B">
        <w:t>the number of objectives from 11 to 5</w:t>
      </w:r>
      <w:r w:rsidRPr="005F5F76" w:rsidR="00B73A83">
        <w:t>, as</w:t>
      </w:r>
      <w:r w:rsidRPr="005F5F76" w:rsidR="00DB459B">
        <w:t xml:space="preserve"> </w:t>
      </w:r>
      <w:r w:rsidRPr="005F5F76" w:rsidR="00B73A83">
        <w:t xml:space="preserve">this </w:t>
      </w:r>
      <w:r w:rsidRPr="005F5F76" w:rsidR="00DB459B">
        <w:t xml:space="preserve">will </w:t>
      </w:r>
      <w:r w:rsidRPr="005F5F76" w:rsidR="00062409">
        <w:t xml:space="preserve">allow resources </w:t>
      </w:r>
      <w:r w:rsidRPr="005F5F76" w:rsidR="00DB459B">
        <w:t>to</w:t>
      </w:r>
      <w:r w:rsidRPr="005F5F76" w:rsidR="00062409">
        <w:t xml:space="preserve"> be</w:t>
      </w:r>
      <w:r w:rsidRPr="005F5F76" w:rsidR="00DB459B">
        <w:t xml:space="preserve"> concentrate</w:t>
      </w:r>
      <w:r w:rsidRPr="005F5F76" w:rsidR="00FC3926">
        <w:t>d</w:t>
      </w:r>
      <w:r w:rsidRPr="005F5F76" w:rsidR="00DB459B">
        <w:t xml:space="preserve"> on the priority issues of the competitiveness </w:t>
      </w:r>
      <w:r w:rsidRPr="005F5F76" w:rsidR="00062409">
        <w:t xml:space="preserve">of enterprises </w:t>
      </w:r>
      <w:r w:rsidRPr="005F5F76" w:rsidR="00DB459B">
        <w:t xml:space="preserve">and </w:t>
      </w:r>
      <w:r w:rsidRPr="005F5F76" w:rsidR="00062409">
        <w:t xml:space="preserve">of the </w:t>
      </w:r>
      <w:r w:rsidRPr="005F5F76" w:rsidR="00DB459B">
        <w:t>rights</w:t>
      </w:r>
      <w:r w:rsidRPr="005F5F76" w:rsidR="004664C1">
        <w:t xml:space="preserve"> of persons</w:t>
      </w:r>
      <w:r w:rsidRPr="005F5F76" w:rsidR="00DB459B">
        <w:t>.</w:t>
      </w:r>
      <w:r w:rsidRPr="005F5F76" w:rsidR="004140A1">
        <w:t xml:space="preserve"> However, fewer, clearer and shorter rules should not mean less efficient regulations for achieving its general and specific goals. More particularly, greater simplification should not mean sidelining cross-cutting principles that are part and parcel of the European acquis from the proposed regulation.</w:t>
      </w:r>
    </w:p>
    <w:p w:rsidRPr="005F5F76" w:rsidR="001A2670" w:rsidP="00BA1A9E" w:rsidRDefault="001A2670">
      <w:pPr>
        <w:ind w:left="720" w:hanging="720"/>
      </w:pPr>
    </w:p>
    <w:p w:rsidRPr="005F5F76" w:rsidR="004140A1" w:rsidP="001669CE" w:rsidRDefault="004140A1">
      <w:pPr>
        <w:pStyle w:val="Heading2"/>
        <w:ind w:left="567" w:hanging="567"/>
      </w:pPr>
      <w:r w:rsidRPr="005F5F76">
        <w:t xml:space="preserve">Simplification through unifying funds and facilitating access for beneficiaries, notably by relying more on management carried out by Member States, and through stepping up the use of Simplified Cost Options, are much-needed steps for enhancing the efficiency of investments. The extension of the principle of the single audit and greater reliance on national, regional and local authorities will also make for more efficient technical assistance expenditure. The EESC also welcomes the strengthening of </w:t>
      </w:r>
      <w:r w:rsidRPr="005F5F76">
        <w:rPr>
          <w:b/>
        </w:rPr>
        <w:t>e-cohesion and data exchange</w:t>
      </w:r>
      <w:r w:rsidRPr="005F5F76">
        <w:t>, as these will enhance the transparency and efficiency of the ERDF and CF.</w:t>
      </w:r>
      <w:r w:rsidRPr="005F5F76" w:rsidR="00FC796C">
        <w:t xml:space="preserve"> </w:t>
      </w:r>
      <w:r w:rsidRPr="005F5F76" w:rsidR="00B267A0">
        <w:t xml:space="preserve">The EESC welcomes </w:t>
      </w:r>
      <w:r w:rsidRPr="005F5F76" w:rsidR="00FC796C">
        <w:t>C</w:t>
      </w:r>
      <w:r w:rsidRPr="005F5F76" w:rsidR="00B267A0">
        <w:t>ommission</w:t>
      </w:r>
      <w:r w:rsidRPr="005F5F76" w:rsidR="00FC796C">
        <w:t>'s proposal to strengthen interregional cooperation through the Smart Speciali</w:t>
      </w:r>
      <w:r w:rsidRPr="005F5F76" w:rsidR="00B96890">
        <w:t>s</w:t>
      </w:r>
      <w:r w:rsidRPr="005F5F76" w:rsidR="00FC796C">
        <w:t>ation Strategy (S3).</w:t>
      </w:r>
    </w:p>
    <w:p w:rsidRPr="005F5F76" w:rsidR="001A2670" w:rsidP="00BA1A9E" w:rsidRDefault="001A2670">
      <w:pPr>
        <w:ind w:left="720" w:hanging="720"/>
      </w:pPr>
    </w:p>
    <w:p w:rsidRPr="005F5F76" w:rsidR="005F022B" w:rsidP="00BA1A9E" w:rsidRDefault="00F60903">
      <w:pPr>
        <w:pStyle w:val="Heading2"/>
        <w:ind w:left="567" w:hanging="567"/>
      </w:pPr>
      <w:r w:rsidRPr="005F5F76">
        <w:t xml:space="preserve">The </w:t>
      </w:r>
      <w:r w:rsidRPr="005F5F76" w:rsidR="00CA1226">
        <w:t>EESC believes</w:t>
      </w:r>
      <w:r w:rsidRPr="005F5F76">
        <w:t xml:space="preserve"> that</w:t>
      </w:r>
      <w:r w:rsidRPr="005F5F76" w:rsidR="00CA1226">
        <w:t xml:space="preserve"> the </w:t>
      </w:r>
      <w:r w:rsidRPr="005F5F76" w:rsidR="00CA1226">
        <w:rPr>
          <w:b/>
        </w:rPr>
        <w:t>European Territorial Cooperation</w:t>
      </w:r>
      <w:r w:rsidRPr="005F5F76" w:rsidR="00CA1226">
        <w:t xml:space="preserve"> is an important </w:t>
      </w:r>
      <w:r w:rsidRPr="005F5F76" w:rsidR="00B33F0E">
        <w:t>way of</w:t>
      </w:r>
      <w:r w:rsidRPr="005F5F76" w:rsidR="00CA1226">
        <w:t xml:space="preserve"> support</w:t>
      </w:r>
      <w:r w:rsidRPr="005F5F76" w:rsidR="00B73A83">
        <w:t>ing</w:t>
      </w:r>
      <w:r w:rsidRPr="005F5F76" w:rsidR="00CA1226">
        <w:t xml:space="preserve"> specific</w:t>
      </w:r>
      <w:r w:rsidRPr="005F5F76" w:rsidR="00FD564E">
        <w:t xml:space="preserve"> cross</w:t>
      </w:r>
      <w:r w:rsidRPr="005F5F76" w:rsidR="006B6564">
        <w:t>-</w:t>
      </w:r>
      <w:r w:rsidRPr="005F5F76" w:rsidR="00FD564E">
        <w:t>border</w:t>
      </w:r>
      <w:r w:rsidRPr="005F5F76" w:rsidR="00CA1226">
        <w:t xml:space="preserve"> regions that </w:t>
      </w:r>
      <w:r w:rsidRPr="005F5F76" w:rsidR="00B33F0E">
        <w:t xml:space="preserve">commonly </w:t>
      </w:r>
      <w:r w:rsidRPr="005F5F76" w:rsidR="00CA1226">
        <w:t xml:space="preserve">face </w:t>
      </w:r>
      <w:r w:rsidRPr="005F5F76" w:rsidR="00B33F0E">
        <w:t xml:space="preserve">problems with </w:t>
      </w:r>
      <w:r w:rsidRPr="005F5F76" w:rsidR="00FD564E">
        <w:t>infrastructur</w:t>
      </w:r>
      <w:r w:rsidRPr="005F5F76" w:rsidR="00CB3063">
        <w:t>e</w:t>
      </w:r>
      <w:r w:rsidRPr="005F5F76" w:rsidR="00FD564E">
        <w:t xml:space="preserve">, </w:t>
      </w:r>
      <w:r w:rsidRPr="005F5F76" w:rsidR="002B1800">
        <w:t xml:space="preserve">the </w:t>
      </w:r>
      <w:r w:rsidRPr="005F5F76" w:rsidR="00FD564E">
        <w:t>delivery of public services</w:t>
      </w:r>
      <w:r w:rsidRPr="005F5F76" w:rsidR="005F022B">
        <w:t>,</w:t>
      </w:r>
      <w:r w:rsidRPr="005F5F76" w:rsidR="00B73A83">
        <w:t xml:space="preserve"> </w:t>
      </w:r>
      <w:r w:rsidRPr="005F5F76" w:rsidR="00CA1226">
        <w:t>communi</w:t>
      </w:r>
      <w:r w:rsidRPr="005F5F76" w:rsidR="00FD564E">
        <w:t>c</w:t>
      </w:r>
      <w:r w:rsidRPr="005F5F76" w:rsidR="00CA1226">
        <w:t>a</w:t>
      </w:r>
      <w:r w:rsidRPr="005F5F76" w:rsidR="00FD564E">
        <w:t>t</w:t>
      </w:r>
      <w:r w:rsidRPr="005F5F76" w:rsidR="00CA1226">
        <w:t>ion</w:t>
      </w:r>
      <w:r w:rsidRPr="005F5F76" w:rsidR="00FD564E">
        <w:t xml:space="preserve"> and</w:t>
      </w:r>
      <w:r w:rsidRPr="005F5F76" w:rsidR="00CA1226">
        <w:t xml:space="preserve"> transport</w:t>
      </w:r>
      <w:r w:rsidRPr="005F5F76" w:rsidR="00FD564E">
        <w:t xml:space="preserve"> due</w:t>
      </w:r>
      <w:r w:rsidRPr="005F5F76" w:rsidR="002B1800">
        <w:t>,</w:t>
      </w:r>
      <w:r w:rsidRPr="005F5F76" w:rsidR="00FD564E">
        <w:t xml:space="preserve"> </w:t>
      </w:r>
      <w:r w:rsidRPr="005F5F76" w:rsidR="00B73A83">
        <w:t>amongst other things</w:t>
      </w:r>
      <w:r w:rsidRPr="005F5F76" w:rsidR="002B1800">
        <w:t>,</w:t>
      </w:r>
      <w:r w:rsidRPr="005F5F76" w:rsidR="00B73A83">
        <w:t xml:space="preserve"> </w:t>
      </w:r>
      <w:r w:rsidRPr="005F5F76" w:rsidR="00FD564E">
        <w:t>to geographical and/or historical characteristics.</w:t>
      </w:r>
      <w:r w:rsidRPr="005F5F76" w:rsidR="003102E2">
        <w:t xml:space="preserve"> </w:t>
      </w:r>
      <w:r w:rsidRPr="005F5F76" w:rsidR="00EF5B74">
        <w:t xml:space="preserve">Interreg </w:t>
      </w:r>
      <w:r w:rsidRPr="005F5F76" w:rsidR="00CA1226">
        <w:t xml:space="preserve">should be a tool to promote </w:t>
      </w:r>
      <w:r w:rsidRPr="005F5F76" w:rsidR="00FD564E">
        <w:t>the</w:t>
      </w:r>
      <w:r w:rsidRPr="005F5F76" w:rsidR="00CA1226">
        <w:t xml:space="preserve"> economic and </w:t>
      </w:r>
      <w:r w:rsidRPr="005F5F76" w:rsidR="002B50C8">
        <w:t>social convergence</w:t>
      </w:r>
      <w:r w:rsidRPr="005F5F76" w:rsidR="00FD564E">
        <w:t xml:space="preserve"> of </w:t>
      </w:r>
      <w:r w:rsidRPr="005F5F76" w:rsidR="006B6564">
        <w:t xml:space="preserve">these </w:t>
      </w:r>
      <w:r w:rsidRPr="005F5F76" w:rsidR="00FD564E">
        <w:t>regions</w:t>
      </w:r>
      <w:r w:rsidRPr="005F5F76" w:rsidR="002B1800">
        <w:t xml:space="preserve">, sub-regions and local areas </w:t>
      </w:r>
      <w:r w:rsidRPr="005F5F76" w:rsidR="00FD564E">
        <w:t>in practical terms, and</w:t>
      </w:r>
      <w:r w:rsidRPr="005F5F76" w:rsidR="00A40381">
        <w:t xml:space="preserve"> </w:t>
      </w:r>
      <w:r w:rsidRPr="005F5F76" w:rsidR="006B6564">
        <w:t xml:space="preserve">the </w:t>
      </w:r>
      <w:r w:rsidRPr="005F5F76" w:rsidR="00A40381">
        <w:t xml:space="preserve">EESC </w:t>
      </w:r>
      <w:r w:rsidRPr="005F5F76" w:rsidR="00850506">
        <w:t xml:space="preserve">therefore </w:t>
      </w:r>
      <w:r w:rsidRPr="005F5F76" w:rsidR="005F022B">
        <w:t xml:space="preserve">suggests </w:t>
      </w:r>
      <w:r w:rsidRPr="005F5F76" w:rsidR="00FD564E">
        <w:t>increas</w:t>
      </w:r>
      <w:r w:rsidRPr="005F5F76" w:rsidR="00850506">
        <w:t>ing</w:t>
      </w:r>
      <w:r w:rsidRPr="005F5F76" w:rsidR="00B73A83">
        <w:t xml:space="preserve"> </w:t>
      </w:r>
      <w:r w:rsidRPr="005F5F76" w:rsidR="005F022B">
        <w:t>the budget of this instrument.</w:t>
      </w:r>
      <w:r w:rsidRPr="005F5F76" w:rsidR="00850506">
        <w:t xml:space="preserve"> The EESC also strongly recommends that ERDF funding be provided to support the effective functioning and implementation of the cross-border mechanism.</w:t>
      </w:r>
    </w:p>
    <w:p w:rsidRPr="005F5F76" w:rsidR="001F426E" w:rsidP="005F5F76" w:rsidRDefault="001F426E"/>
    <w:p w:rsidRPr="005F5F76" w:rsidR="004D0032" w:rsidP="001669CE" w:rsidRDefault="00E81F20">
      <w:pPr>
        <w:pStyle w:val="Heading2"/>
        <w:ind w:left="567" w:hanging="567"/>
      </w:pPr>
      <w:r w:rsidRPr="005F5F76">
        <w:t xml:space="preserve">Although </w:t>
      </w:r>
      <w:r w:rsidRPr="005F5F76">
        <w:rPr>
          <w:b/>
        </w:rPr>
        <w:t>equality, non-discrimination and accessibility</w:t>
      </w:r>
      <w:r w:rsidRPr="005F5F76">
        <w:t xml:space="preserve"> are included in the preamble, the EESC firmly believes that they should be fully embedded in the main text of the ERDF and CF regulation, making them mandatory eligibility criteria for funding allocations</w:t>
      </w:r>
      <w:r w:rsidRPr="005F5F76" w:rsidR="00543660">
        <w:t xml:space="preserve"> and </w:t>
      </w:r>
      <w:r w:rsidRPr="005F5F76" w:rsidR="00B97FC9">
        <w:t>that</w:t>
      </w:r>
      <w:r w:rsidRPr="005F5F76" w:rsidR="00543660">
        <w:t xml:space="preserve"> accessibility for persons with disabilities must be included in Article 67 of the proposed CPR on selection of operations</w:t>
      </w:r>
      <w:r w:rsidRPr="005F5F76" w:rsidR="00543660">
        <w:rPr>
          <w:rStyle w:val="FootnoteReference"/>
        </w:rPr>
        <w:footnoteReference w:id="6"/>
      </w:r>
      <w:r w:rsidRPr="005F5F76">
        <w:t>.</w:t>
      </w:r>
    </w:p>
    <w:p w:rsidRPr="005F5F76" w:rsidR="001A2670" w:rsidP="00BA1A9E" w:rsidRDefault="001A2670">
      <w:pPr>
        <w:ind w:left="567" w:hanging="567"/>
        <w:rPr>
          <w:highlight w:val="green"/>
        </w:rPr>
      </w:pPr>
    </w:p>
    <w:p w:rsidRPr="005F5F76" w:rsidR="00DE39C5" w:rsidP="00BA1A9E" w:rsidRDefault="00B304BA">
      <w:pPr>
        <w:pStyle w:val="Heading2"/>
        <w:ind w:left="567" w:hanging="567"/>
      </w:pPr>
      <w:r w:rsidRPr="005F5F76">
        <w:t xml:space="preserve">The classification of the regions </w:t>
      </w:r>
      <w:r w:rsidRPr="005F5F76" w:rsidR="006B2849">
        <w:t>is still determined by</w:t>
      </w:r>
      <w:r w:rsidRPr="005F5F76">
        <w:t xml:space="preserve"> the </w:t>
      </w:r>
      <w:r w:rsidRPr="005F5F76">
        <w:rPr>
          <w:b/>
        </w:rPr>
        <w:t>'</w:t>
      </w:r>
      <w:r w:rsidRPr="005F5F76" w:rsidR="00C709AE">
        <w:rPr>
          <w:b/>
        </w:rPr>
        <w:t>Berlin method</w:t>
      </w:r>
      <w:r w:rsidRPr="005F5F76">
        <w:rPr>
          <w:b/>
        </w:rPr>
        <w:t>'</w:t>
      </w:r>
      <w:r w:rsidRPr="005F5F76" w:rsidR="00F44360">
        <w:t xml:space="preserve">, taking into account exclusively the gross national income and population of each region to determine </w:t>
      </w:r>
      <w:r w:rsidRPr="005F5F76" w:rsidR="006B2849">
        <w:t>the</w:t>
      </w:r>
      <w:r w:rsidRPr="005F5F76" w:rsidR="00F44360">
        <w:t xml:space="preserve"> thematic concentration requirements</w:t>
      </w:r>
      <w:r w:rsidRPr="005F5F76" w:rsidR="006B2849">
        <w:t xml:space="preserve"> applying </w:t>
      </w:r>
      <w:r w:rsidRPr="005F5F76" w:rsidR="0060359F">
        <w:t>to</w:t>
      </w:r>
      <w:r w:rsidRPr="005F5F76" w:rsidR="006B2849">
        <w:t xml:space="preserve"> each</w:t>
      </w:r>
      <w:r w:rsidRPr="005F5F76" w:rsidR="003D14E9">
        <w:rPr>
          <w:rStyle w:val="FootnoteReference"/>
        </w:rPr>
        <w:footnoteReference w:id="7"/>
      </w:r>
      <w:r w:rsidRPr="005F5F76" w:rsidR="006B2849">
        <w:t xml:space="preserve">. </w:t>
      </w:r>
      <w:r w:rsidRPr="005F5F76" w:rsidR="00EB7DD2">
        <w:t>Nevertheless, t</w:t>
      </w:r>
      <w:r w:rsidRPr="005F5F76" w:rsidR="006B2849">
        <w:t>he Commission has decided to include new indicators for the allocation method, such as unemployment, net migration or greenhouse gas emissions. Even if this solution contributes to improv</w:t>
      </w:r>
      <w:r w:rsidRPr="005F5F76" w:rsidR="00906C84">
        <w:t>ing</w:t>
      </w:r>
      <w:r w:rsidRPr="005F5F76" w:rsidR="006B2849">
        <w:t xml:space="preserve"> the </w:t>
      </w:r>
      <w:r w:rsidRPr="005F5F76" w:rsidR="009A7F39">
        <w:t xml:space="preserve">accuracy of the funding </w:t>
      </w:r>
      <w:r w:rsidRPr="005F5F76" w:rsidR="00EB7DD2">
        <w:t xml:space="preserve">distribution </w:t>
      </w:r>
      <w:r w:rsidRPr="005F5F76" w:rsidR="009A7F39">
        <w:t xml:space="preserve">regarding </w:t>
      </w:r>
      <w:r w:rsidRPr="005F5F76" w:rsidR="00EB7DD2">
        <w:t xml:space="preserve">the </w:t>
      </w:r>
      <w:r w:rsidRPr="005F5F76" w:rsidR="00906C84">
        <w:t xml:space="preserve">needs </w:t>
      </w:r>
      <w:r w:rsidRPr="005F5F76" w:rsidR="00EB7DD2">
        <w:t xml:space="preserve">of the regions, the thematic concentration requirements would still be determined by a method of classification that leaves aside these inequalities. </w:t>
      </w:r>
    </w:p>
    <w:p w:rsidRPr="005F5F76" w:rsidR="00DE3436" w:rsidP="0024003D" w:rsidRDefault="00DE3436"/>
    <w:p w:rsidRPr="005F5F76" w:rsidR="00B32615" w:rsidP="0024003D" w:rsidRDefault="00EB7DD2">
      <w:pPr>
        <w:pStyle w:val="Heading3"/>
        <w:ind w:left="567" w:hanging="567"/>
      </w:pPr>
      <w:r w:rsidRPr="005F5F76">
        <w:t>Therefore, many regi</w:t>
      </w:r>
      <w:r w:rsidRPr="005F5F76" w:rsidR="00FA3285">
        <w:t xml:space="preserve">ons of Member States </w:t>
      </w:r>
      <w:r w:rsidRPr="005F5F76" w:rsidR="00906C84">
        <w:t>in</w:t>
      </w:r>
      <w:r w:rsidRPr="005F5F76" w:rsidR="00FA3285">
        <w:t xml:space="preserve"> </w:t>
      </w:r>
      <w:r w:rsidRPr="005F5F76" w:rsidR="00280A00">
        <w:t>'</w:t>
      </w:r>
      <w:r w:rsidRPr="005F5F76">
        <w:t>group 1</w:t>
      </w:r>
      <w:r w:rsidRPr="005F5F76" w:rsidR="00280A00">
        <w:t>'</w:t>
      </w:r>
      <w:r w:rsidRPr="005F5F76">
        <w:t xml:space="preserve"> might </w:t>
      </w:r>
      <w:r w:rsidRPr="005F5F76" w:rsidR="00110E58">
        <w:t xml:space="preserve">receive </w:t>
      </w:r>
      <w:r w:rsidRPr="005F5F76">
        <w:t xml:space="preserve">a </w:t>
      </w:r>
      <w:r w:rsidRPr="005F5F76" w:rsidR="00110E58">
        <w:t>'</w:t>
      </w:r>
      <w:r w:rsidRPr="005F5F76">
        <w:t>correct</w:t>
      </w:r>
      <w:r w:rsidRPr="005F5F76" w:rsidR="00110E58">
        <w:t>'</w:t>
      </w:r>
      <w:r w:rsidRPr="005F5F76">
        <w:t xml:space="preserve"> </w:t>
      </w:r>
      <w:r w:rsidRPr="005F5F76" w:rsidR="00F03282">
        <w:t>allocation</w:t>
      </w:r>
      <w:r w:rsidRPr="005F5F76" w:rsidR="0060359F">
        <w:t xml:space="preserve"> </w:t>
      </w:r>
      <w:r w:rsidRPr="005F5F76" w:rsidR="00110E58">
        <w:t xml:space="preserve">in terms </w:t>
      </w:r>
      <w:r w:rsidRPr="005F5F76">
        <w:t xml:space="preserve">of the inequalities they suffer </w:t>
      </w:r>
      <w:r w:rsidRPr="005F5F76" w:rsidR="00110E58">
        <w:t xml:space="preserve">that goes beyond </w:t>
      </w:r>
      <w:r w:rsidRPr="005F5F76">
        <w:t xml:space="preserve">GNI, but </w:t>
      </w:r>
      <w:r w:rsidRPr="005F5F76" w:rsidR="00906C84">
        <w:t xml:space="preserve">would </w:t>
      </w:r>
      <w:r w:rsidRPr="005F5F76">
        <w:t xml:space="preserve">then </w:t>
      </w:r>
      <w:r w:rsidRPr="005F5F76" w:rsidR="00830D30">
        <w:t xml:space="preserve">have to contend with </w:t>
      </w:r>
      <w:r w:rsidRPr="005F5F76">
        <w:t>the thematic concentration requirements</w:t>
      </w:r>
      <w:r w:rsidRPr="005F5F76" w:rsidR="00906C84">
        <w:t>,</w:t>
      </w:r>
      <w:r w:rsidRPr="005F5F76">
        <w:t xml:space="preserve"> </w:t>
      </w:r>
      <w:r w:rsidRPr="005F5F76" w:rsidR="00830D30">
        <w:t xml:space="preserve">something that </w:t>
      </w:r>
      <w:r w:rsidRPr="005F5F76" w:rsidR="00906C84">
        <w:t xml:space="preserve">could </w:t>
      </w:r>
      <w:r w:rsidRPr="005F5F76">
        <w:t xml:space="preserve">constrain their capacity </w:t>
      </w:r>
      <w:r w:rsidRPr="005F5F76" w:rsidR="00906C84">
        <w:t xml:space="preserve">for </w:t>
      </w:r>
      <w:r w:rsidRPr="005F5F76">
        <w:t>tackling these inequalities.</w:t>
      </w:r>
      <w:r w:rsidRPr="005F5F76" w:rsidR="001F0292">
        <w:t xml:space="preserve"> T</w:t>
      </w:r>
      <w:r w:rsidRPr="005F5F76" w:rsidR="008A01CF">
        <w:t xml:space="preserve">he explanation given </w:t>
      </w:r>
      <w:r w:rsidRPr="005F5F76" w:rsidR="00F03282">
        <w:t xml:space="preserve">in </w:t>
      </w:r>
      <w:r w:rsidRPr="005F5F76" w:rsidR="008A01CF">
        <w:t>the Impact Assessment – as an answer to the requirement of the Regulatory Scrutiny Board</w:t>
      </w:r>
      <w:r w:rsidRPr="005F5F76" w:rsidR="008A01CF">
        <w:rPr>
          <w:rStyle w:val="FootnoteReference"/>
        </w:rPr>
        <w:footnoteReference w:id="8"/>
      </w:r>
      <w:r w:rsidRPr="005F5F76" w:rsidR="00906C84">
        <w:t xml:space="preserve"> –</w:t>
      </w:r>
      <w:r w:rsidRPr="005F5F76" w:rsidR="008A01CF">
        <w:t xml:space="preserve"> </w:t>
      </w:r>
      <w:r w:rsidRPr="005F5F76">
        <w:t xml:space="preserve">on the </w:t>
      </w:r>
      <w:r w:rsidRPr="005F5F76" w:rsidR="00830D30">
        <w:t xml:space="preserve">choice </w:t>
      </w:r>
      <w:r w:rsidRPr="005F5F76">
        <w:t xml:space="preserve">of the </w:t>
      </w:r>
      <w:r w:rsidRPr="005F5F76" w:rsidR="00DE4BCE">
        <w:t>'</w:t>
      </w:r>
      <w:r w:rsidRPr="005F5F76">
        <w:t>Berlin method</w:t>
      </w:r>
      <w:r w:rsidRPr="005F5F76" w:rsidR="00DE4BCE">
        <w:t>'</w:t>
      </w:r>
      <w:r w:rsidRPr="005F5F76">
        <w:t xml:space="preserve"> </w:t>
      </w:r>
      <w:r w:rsidRPr="005F5F76" w:rsidR="008A01CF">
        <w:t xml:space="preserve">does not clarify why </w:t>
      </w:r>
      <w:r w:rsidRPr="005F5F76">
        <w:t>other relevant</w:t>
      </w:r>
      <w:r w:rsidRPr="005F5F76" w:rsidR="008A01CF">
        <w:t xml:space="preserve"> indicators were not taken into account</w:t>
      </w:r>
      <w:r w:rsidRPr="005F5F76" w:rsidR="00B32615">
        <w:t>.</w:t>
      </w:r>
      <w:r w:rsidRPr="005F5F76" w:rsidR="004D0032">
        <w:t xml:space="preserve"> </w:t>
      </w:r>
      <w:r w:rsidRPr="005F5F76" w:rsidR="00906C84">
        <w:t>T</w:t>
      </w:r>
      <w:r w:rsidRPr="005F5F76" w:rsidR="00F03282">
        <w:t xml:space="preserve">he </w:t>
      </w:r>
      <w:r w:rsidRPr="005F5F76" w:rsidR="001F175C">
        <w:t xml:space="preserve">EESC </w:t>
      </w:r>
      <w:r w:rsidRPr="005F5F76" w:rsidR="00906C84">
        <w:t xml:space="preserve">therefore </w:t>
      </w:r>
      <w:r w:rsidRPr="005F5F76" w:rsidR="001F175C">
        <w:t>asks the Commission to reconsider this approach.</w:t>
      </w:r>
    </w:p>
    <w:p w:rsidRPr="005F5F76" w:rsidR="001A2670" w:rsidP="0024003D" w:rsidRDefault="001A2670"/>
    <w:p w:rsidRPr="005F5F76" w:rsidR="00944E1C" w:rsidP="001669CE" w:rsidRDefault="004859DE">
      <w:pPr>
        <w:pStyle w:val="Heading2"/>
        <w:ind w:left="567" w:hanging="567"/>
      </w:pPr>
      <w:r w:rsidRPr="005F5F76">
        <w:rPr>
          <w:b/>
        </w:rPr>
        <w:t>Sparsely populated areas</w:t>
      </w:r>
      <w:r w:rsidRPr="005F5F76">
        <w:t xml:space="preserve">, </w:t>
      </w:r>
      <w:r w:rsidRPr="005F5F76" w:rsidR="00A41473">
        <w:t xml:space="preserve">in accordance with </w:t>
      </w:r>
      <w:r w:rsidRPr="005F5F76" w:rsidR="00DE4BCE">
        <w:t>A</w:t>
      </w:r>
      <w:r w:rsidRPr="005F5F76" w:rsidR="00A41473">
        <w:t xml:space="preserve">rticle 174 of the Treaty </w:t>
      </w:r>
      <w:r w:rsidRPr="005F5F76" w:rsidR="00DE4BCE">
        <w:t>on</w:t>
      </w:r>
      <w:r w:rsidRPr="005F5F76" w:rsidR="00A41473">
        <w:t xml:space="preserve"> the Functioning of the European Union,</w:t>
      </w:r>
      <w:r w:rsidRPr="005F5F76" w:rsidR="00CE737A">
        <w:t xml:space="preserve"> </w:t>
      </w:r>
      <w:r w:rsidRPr="005F5F76">
        <w:t>as well as isolated areas</w:t>
      </w:r>
      <w:r w:rsidRPr="005F5F76" w:rsidR="00223F7E">
        <w:t>,</w:t>
      </w:r>
      <w:r w:rsidRPr="005F5F76">
        <w:t xml:space="preserve"> such as small islands</w:t>
      </w:r>
      <w:r w:rsidRPr="005F5F76" w:rsidR="00223F7E">
        <w:t>,</w:t>
      </w:r>
      <w:r w:rsidRPr="005F5F76">
        <w:t xml:space="preserve"> are</w:t>
      </w:r>
      <w:r w:rsidRPr="005F5F76" w:rsidR="00370C7C">
        <w:t xml:space="preserve"> regions that face </w:t>
      </w:r>
      <w:r w:rsidRPr="005F5F76" w:rsidR="0074082D">
        <w:t xml:space="preserve">specific </w:t>
      </w:r>
      <w:r w:rsidRPr="005F5F76" w:rsidR="00370C7C">
        <w:t>problems of communication</w:t>
      </w:r>
      <w:r w:rsidRPr="005F5F76" w:rsidR="00223F7E">
        <w:t xml:space="preserve"> – including internet access</w:t>
      </w:r>
      <w:r w:rsidRPr="005F5F76" w:rsidR="00906C84">
        <w:t xml:space="preserve"> –</w:t>
      </w:r>
      <w:r w:rsidRPr="005F5F76" w:rsidR="00223F7E">
        <w:t xml:space="preserve"> and</w:t>
      </w:r>
      <w:r w:rsidRPr="005F5F76" w:rsidR="00370C7C">
        <w:t xml:space="preserve"> transport</w:t>
      </w:r>
      <w:r w:rsidRPr="005F5F76" w:rsidR="00223F7E">
        <w:t xml:space="preserve">. </w:t>
      </w:r>
      <w:r w:rsidRPr="005F5F76" w:rsidR="00E15412">
        <w:t>In addition</w:t>
      </w:r>
      <w:r w:rsidRPr="005F5F76" w:rsidR="0074082D">
        <w:t xml:space="preserve">, they </w:t>
      </w:r>
      <w:r w:rsidRPr="005F5F76" w:rsidR="00E15412">
        <w:t xml:space="preserve">commonly </w:t>
      </w:r>
      <w:r w:rsidRPr="005F5F76" w:rsidR="0074082D">
        <w:t>lack social infrastructure (health, education</w:t>
      </w:r>
      <w:r w:rsidRPr="005F5F76" w:rsidR="00906C84">
        <w:t>,</w:t>
      </w:r>
      <w:r w:rsidRPr="005F5F76" w:rsidR="0074082D">
        <w:t xml:space="preserve"> etc.). </w:t>
      </w:r>
      <w:r w:rsidRPr="005F5F76" w:rsidR="00223F7E">
        <w:t xml:space="preserve">In these regions, the </w:t>
      </w:r>
      <w:r w:rsidRPr="005F5F76" w:rsidR="00E15412">
        <w:t xml:space="preserve">scattered nature </w:t>
      </w:r>
      <w:r w:rsidRPr="005F5F76" w:rsidR="00223F7E">
        <w:t>of the population and the lack of employment opportunities</w:t>
      </w:r>
      <w:r w:rsidRPr="005F5F76" w:rsidR="00E15412">
        <w:t xml:space="preserve">, causing </w:t>
      </w:r>
      <w:r w:rsidRPr="005F5F76" w:rsidR="00223F7E">
        <w:t>a disturbing rate of aging</w:t>
      </w:r>
      <w:r w:rsidRPr="005F5F76" w:rsidR="00E15412">
        <w:t xml:space="preserve">, results in </w:t>
      </w:r>
      <w:r w:rsidRPr="005F5F76" w:rsidR="00223F7E">
        <w:t xml:space="preserve">a gradual increase </w:t>
      </w:r>
      <w:r w:rsidRPr="005F5F76" w:rsidR="00906C84">
        <w:t xml:space="preserve">in </w:t>
      </w:r>
      <w:r w:rsidRPr="005F5F76" w:rsidR="00223F7E">
        <w:t xml:space="preserve">the cost of delivering public services, </w:t>
      </w:r>
      <w:r w:rsidRPr="005F5F76" w:rsidR="00906C84">
        <w:t xml:space="preserve">making it </w:t>
      </w:r>
      <w:r w:rsidRPr="005F5F76" w:rsidR="00223F7E">
        <w:t>harde</w:t>
      </w:r>
      <w:r w:rsidRPr="005F5F76" w:rsidR="00906C84">
        <w:t>r</w:t>
      </w:r>
      <w:r w:rsidRPr="005F5F76" w:rsidR="00223F7E">
        <w:t xml:space="preserve"> </w:t>
      </w:r>
      <w:r w:rsidRPr="005F5F76" w:rsidR="00270F6C">
        <w:t xml:space="preserve">to </w:t>
      </w:r>
      <w:r w:rsidRPr="005F5F76" w:rsidR="00223F7E">
        <w:t xml:space="preserve">develop employment programmes and attract companies. </w:t>
      </w:r>
    </w:p>
    <w:p w:rsidRPr="005F5F76" w:rsidR="00AA2A89" w:rsidP="0024003D" w:rsidRDefault="00AA2A89"/>
    <w:p w:rsidRPr="005F5F76" w:rsidR="00B32615" w:rsidP="0024003D" w:rsidRDefault="00223F7E">
      <w:pPr>
        <w:pStyle w:val="Heading3"/>
        <w:ind w:left="567" w:hanging="720"/>
      </w:pPr>
      <w:r w:rsidRPr="005F5F76">
        <w:t xml:space="preserve">The proposal allocates part of the budget for these regions together with those classified as outermost regions. </w:t>
      </w:r>
      <w:r w:rsidRPr="005F5F76" w:rsidR="00270F6C">
        <w:t>However</w:t>
      </w:r>
      <w:r w:rsidRPr="005F5F76">
        <w:t xml:space="preserve">, the classification of regions </w:t>
      </w:r>
      <w:r w:rsidRPr="005F5F76" w:rsidR="00270F6C">
        <w:t xml:space="preserve">includes </w:t>
      </w:r>
      <w:r w:rsidRPr="005F5F76">
        <w:t>the outermost regions</w:t>
      </w:r>
      <w:r w:rsidRPr="005F5F76" w:rsidR="00CB3063">
        <w:t xml:space="preserve"> </w:t>
      </w:r>
      <w:r w:rsidRPr="005F5F76">
        <w:t xml:space="preserve">in </w:t>
      </w:r>
      <w:r w:rsidRPr="005F5F76" w:rsidR="00280A00">
        <w:t>'</w:t>
      </w:r>
      <w:r w:rsidRPr="005F5F76">
        <w:t>group 3</w:t>
      </w:r>
      <w:r w:rsidRPr="005F5F76" w:rsidR="00280A00">
        <w:t>'</w:t>
      </w:r>
      <w:r w:rsidRPr="005F5F76" w:rsidR="00270F6C">
        <w:t>,</w:t>
      </w:r>
      <w:r w:rsidRPr="005F5F76">
        <w:t xml:space="preserve"> not taking into account the special characteristics of the sparsely populated areas, other than GNI per capita. </w:t>
      </w:r>
      <w:r w:rsidRPr="005F5F76" w:rsidR="0074082D">
        <w:t xml:space="preserve">The </w:t>
      </w:r>
      <w:r w:rsidRPr="005F5F76">
        <w:t xml:space="preserve">EESC considers </w:t>
      </w:r>
      <w:r w:rsidRPr="005F5F76" w:rsidR="00270F6C">
        <w:t xml:space="preserve">taking </w:t>
      </w:r>
      <w:r w:rsidRPr="005F5F76">
        <w:t xml:space="preserve">a </w:t>
      </w:r>
      <w:r w:rsidRPr="005F5F76" w:rsidR="0074082D">
        <w:t>speciali</w:t>
      </w:r>
      <w:r w:rsidRPr="005F5F76" w:rsidR="00906C84">
        <w:t>s</w:t>
      </w:r>
      <w:r w:rsidRPr="005F5F76" w:rsidR="0074082D">
        <w:t xml:space="preserve">ed </w:t>
      </w:r>
      <w:r w:rsidRPr="005F5F76">
        <w:t xml:space="preserve">approach </w:t>
      </w:r>
      <w:r w:rsidRPr="005F5F76" w:rsidR="0074082D">
        <w:t>with sufficient funding and the correct thematic concentration requirements</w:t>
      </w:r>
      <w:r w:rsidRPr="005F5F76" w:rsidR="00CB3063">
        <w:t xml:space="preserve"> </w:t>
      </w:r>
      <w:r w:rsidRPr="005F5F76" w:rsidR="00906C84">
        <w:t xml:space="preserve">in order to </w:t>
      </w:r>
      <w:r w:rsidRPr="005F5F76" w:rsidR="0075192D">
        <w:t xml:space="preserve">tackle </w:t>
      </w:r>
      <w:r w:rsidRPr="005F5F76" w:rsidR="005A7809">
        <w:t xml:space="preserve">the difficulties </w:t>
      </w:r>
      <w:r w:rsidRPr="005F5F76" w:rsidR="0075192D">
        <w:t xml:space="preserve">encountered by </w:t>
      </w:r>
      <w:r w:rsidRPr="005F5F76" w:rsidR="005A7809">
        <w:t>sparsely populated and isolated areas</w:t>
      </w:r>
      <w:r w:rsidRPr="005F5F76" w:rsidR="0075192D">
        <w:t>, and that they should therefore benefit from the thematic concentration scope of support and derogations applicable to outermost regions</w:t>
      </w:r>
      <w:r w:rsidRPr="005F5F76" w:rsidR="002B1BC9">
        <w:t>.</w:t>
      </w:r>
    </w:p>
    <w:p w:rsidRPr="005F5F76" w:rsidR="001A2670" w:rsidP="00BA1A9E" w:rsidRDefault="001A2670">
      <w:pPr>
        <w:ind w:left="567" w:hanging="567"/>
      </w:pPr>
    </w:p>
    <w:p w:rsidRPr="005F5F76" w:rsidR="00080914" w:rsidP="0024003D" w:rsidRDefault="0074082D">
      <w:pPr>
        <w:pStyle w:val="Heading2"/>
        <w:ind w:left="567" w:hanging="567"/>
      </w:pPr>
      <w:r w:rsidRPr="005F5F76">
        <w:t xml:space="preserve">The </w:t>
      </w:r>
      <w:r w:rsidRPr="005F5F76" w:rsidR="00154DAF">
        <w:t>EESC welcomes the improv</w:t>
      </w:r>
      <w:r w:rsidRPr="005F5F76" w:rsidR="00CB3063">
        <w:t>e</w:t>
      </w:r>
      <w:r w:rsidRPr="005F5F76" w:rsidR="007A3A72">
        <w:t>ment in the</w:t>
      </w:r>
      <w:r w:rsidRPr="005F5F76" w:rsidR="00746B59">
        <w:t xml:space="preserve"> </w:t>
      </w:r>
      <w:r w:rsidRPr="005F5F76" w:rsidR="00746B59">
        <w:rPr>
          <w:b/>
        </w:rPr>
        <w:t xml:space="preserve">coordination between </w:t>
      </w:r>
      <w:r w:rsidRPr="005F5F76" w:rsidR="00A455FE">
        <w:rPr>
          <w:b/>
        </w:rPr>
        <w:t xml:space="preserve">the seven shared management </w:t>
      </w:r>
      <w:r w:rsidRPr="005F5F76" w:rsidR="00746B59">
        <w:rPr>
          <w:b/>
        </w:rPr>
        <w:t>funds</w:t>
      </w:r>
      <w:r w:rsidRPr="005F5F76" w:rsidR="00B00ADC">
        <w:t xml:space="preserve"> – </w:t>
      </w:r>
      <w:r w:rsidRPr="005F5F76" w:rsidR="00A455FE">
        <w:t xml:space="preserve">established </w:t>
      </w:r>
      <w:r w:rsidRPr="005F5F76" w:rsidR="00B00ADC">
        <w:t xml:space="preserve">mostly </w:t>
      </w:r>
      <w:r w:rsidRPr="005F5F76" w:rsidR="00FE0541">
        <w:t>through</w:t>
      </w:r>
      <w:r w:rsidRPr="005F5F76" w:rsidR="00B00ADC">
        <w:t xml:space="preserve"> the </w:t>
      </w:r>
      <w:r w:rsidRPr="005F5F76" w:rsidR="000C0E7D">
        <w:t xml:space="preserve">CPR </w:t>
      </w:r>
      <w:r w:rsidRPr="005F5F76" w:rsidR="00B00ADC">
        <w:t>proposal</w:t>
      </w:r>
      <w:r w:rsidRPr="005F5F76" w:rsidR="00AC478A">
        <w:t xml:space="preserve"> –</w:t>
      </w:r>
      <w:r w:rsidRPr="005F5F76" w:rsidR="00B00ADC">
        <w:t xml:space="preserve"> </w:t>
      </w:r>
      <w:r w:rsidRPr="005F5F76" w:rsidR="000C0E7D">
        <w:t xml:space="preserve">fulfilling </w:t>
      </w:r>
      <w:r w:rsidRPr="005F5F76" w:rsidR="00746B59">
        <w:t>a</w:t>
      </w:r>
      <w:r w:rsidRPr="005F5F76" w:rsidR="00154DAF">
        <w:t xml:space="preserve"> major</w:t>
      </w:r>
      <w:r w:rsidRPr="005F5F76" w:rsidR="00746B59">
        <w:t xml:space="preserve"> </w:t>
      </w:r>
      <w:r w:rsidRPr="005F5F76" w:rsidR="000C0E7D">
        <w:t xml:space="preserve">request </w:t>
      </w:r>
      <w:r w:rsidRPr="005F5F76" w:rsidR="00AC478A">
        <w:t xml:space="preserve">on the part </w:t>
      </w:r>
      <w:r w:rsidRPr="005F5F76" w:rsidR="00746B59">
        <w:t>of stakeholders</w:t>
      </w:r>
      <w:r w:rsidRPr="005F5F76" w:rsidR="00154DAF">
        <w:t>.</w:t>
      </w:r>
      <w:r w:rsidRPr="005F5F76" w:rsidR="00B07469">
        <w:t xml:space="preserve"> </w:t>
      </w:r>
      <w:r w:rsidRPr="005F5F76" w:rsidR="00D83B52">
        <w:t xml:space="preserve">For the ERDF and the </w:t>
      </w:r>
      <w:r w:rsidRPr="005F5F76" w:rsidR="00CF1F82">
        <w:t>CF</w:t>
      </w:r>
      <w:r w:rsidRPr="005F5F76" w:rsidR="00080914">
        <w:t xml:space="preserve"> the</w:t>
      </w:r>
      <w:r w:rsidRPr="005F5F76" w:rsidR="00AC478A">
        <w:t xml:space="preserve"> combin</w:t>
      </w:r>
      <w:r w:rsidRPr="005F5F76" w:rsidR="00080914">
        <w:t>ation</w:t>
      </w:r>
      <w:r w:rsidRPr="005F5F76" w:rsidR="00AC478A">
        <w:t xml:space="preserve"> </w:t>
      </w:r>
      <w:r w:rsidRPr="005F5F76" w:rsidR="00D83B52">
        <w:t>with the</w:t>
      </w:r>
      <w:r w:rsidRPr="005F5F76" w:rsidR="00F57DB8">
        <w:t xml:space="preserve"> proposed Reform Support Programme</w:t>
      </w:r>
      <w:r w:rsidRPr="005F5F76" w:rsidR="00F57DB8">
        <w:rPr>
          <w:rStyle w:val="FootnoteReference"/>
        </w:rPr>
        <w:footnoteReference w:id="9"/>
      </w:r>
      <w:r w:rsidRPr="005F5F76" w:rsidR="00D83B52">
        <w:t xml:space="preserve"> </w:t>
      </w:r>
      <w:r w:rsidRPr="005F5F76" w:rsidR="00F57DB8">
        <w:t xml:space="preserve">is </w:t>
      </w:r>
      <w:r w:rsidRPr="005F5F76" w:rsidR="007F2C35">
        <w:t>especially</w:t>
      </w:r>
      <w:r w:rsidRPr="005F5F76" w:rsidR="00F57DB8">
        <w:t xml:space="preserve"> relevant, as it will help</w:t>
      </w:r>
      <w:r w:rsidRPr="005F5F76" w:rsidR="00AC478A">
        <w:t xml:space="preserve"> to</w:t>
      </w:r>
      <w:r w:rsidRPr="005F5F76" w:rsidR="00F57DB8">
        <w:t xml:space="preserve"> link the implementation of the programmes with the recommendations </w:t>
      </w:r>
      <w:r w:rsidRPr="005F5F76" w:rsidR="00AC478A">
        <w:t xml:space="preserve">made </w:t>
      </w:r>
      <w:r w:rsidRPr="005F5F76" w:rsidR="00F57DB8">
        <w:t xml:space="preserve">under the European Semester, </w:t>
      </w:r>
      <w:r w:rsidRPr="005F5F76" w:rsidR="00AA2A89">
        <w:t xml:space="preserve">when they are socially sustainable, </w:t>
      </w:r>
      <w:r w:rsidRPr="005F5F76" w:rsidR="00F57DB8">
        <w:t>improving the ef</w:t>
      </w:r>
      <w:r w:rsidRPr="005F5F76" w:rsidR="002B1BC9">
        <w:t>fectiveness of the investments.</w:t>
      </w:r>
      <w:r w:rsidRPr="005F5F76" w:rsidR="00774218">
        <w:t xml:space="preserve"> This combination should provide for specific negotiation</w:t>
      </w:r>
      <w:r w:rsidRPr="005F5F76" w:rsidR="00DE4BCE">
        <w:t>s</w:t>
      </w:r>
      <w:r w:rsidRPr="005F5F76" w:rsidR="00774218">
        <w:t xml:space="preserve"> between </w:t>
      </w:r>
      <w:r w:rsidRPr="005F5F76" w:rsidR="00DE4BCE">
        <w:t>n</w:t>
      </w:r>
      <w:r w:rsidRPr="005F5F76" w:rsidR="00774218">
        <w:t>ational and European authorities</w:t>
      </w:r>
      <w:r w:rsidRPr="005F5F76" w:rsidR="00DE4BCE">
        <w:t>,</w:t>
      </w:r>
      <w:r w:rsidRPr="005F5F76" w:rsidR="00774218">
        <w:t xml:space="preserve"> with the active involvement of </w:t>
      </w:r>
      <w:r w:rsidRPr="005F5F76" w:rsidR="00DE4BCE">
        <w:t>the s</w:t>
      </w:r>
      <w:r w:rsidRPr="005F5F76" w:rsidR="00774218">
        <w:t xml:space="preserve">ocial </w:t>
      </w:r>
      <w:r w:rsidRPr="005F5F76" w:rsidR="006D7BEE">
        <w:t>p</w:t>
      </w:r>
      <w:r w:rsidRPr="005F5F76" w:rsidR="00774218">
        <w:t>artners and CSOs.</w:t>
      </w:r>
    </w:p>
    <w:p w:rsidRPr="005F5F76" w:rsidR="001A2670" w:rsidP="0004094A" w:rsidRDefault="001A2670"/>
    <w:p w:rsidRPr="005F5F76" w:rsidR="00D837AD" w:rsidP="00BA1A9E" w:rsidRDefault="00154DAF">
      <w:pPr>
        <w:pStyle w:val="Heading2"/>
        <w:ind w:left="567" w:hanging="567"/>
      </w:pPr>
      <w:r w:rsidRPr="005F5F76">
        <w:t xml:space="preserve">The </w:t>
      </w:r>
      <w:r w:rsidRPr="005F5F76" w:rsidR="00080914">
        <w:t xml:space="preserve">EESC recognises the importance of </w:t>
      </w:r>
      <w:r w:rsidRPr="005F5F76">
        <w:rPr>
          <w:b/>
        </w:rPr>
        <w:t>combin</w:t>
      </w:r>
      <w:r w:rsidRPr="005F5F76" w:rsidR="00080914">
        <w:rPr>
          <w:b/>
        </w:rPr>
        <w:t>ing</w:t>
      </w:r>
      <w:r w:rsidRPr="005F5F76">
        <w:rPr>
          <w:b/>
        </w:rPr>
        <w:t xml:space="preserve"> different</w:t>
      </w:r>
      <w:r w:rsidRPr="005F5F76" w:rsidR="00B07469">
        <w:rPr>
          <w:b/>
        </w:rPr>
        <w:t xml:space="preserve"> </w:t>
      </w:r>
      <w:r w:rsidRPr="005F5F76" w:rsidR="007F2C35">
        <w:rPr>
          <w:b/>
        </w:rPr>
        <w:t>types</w:t>
      </w:r>
      <w:r w:rsidRPr="005F5F76" w:rsidR="00B07469">
        <w:rPr>
          <w:b/>
        </w:rPr>
        <w:t xml:space="preserve"> of fund</w:t>
      </w:r>
      <w:r w:rsidRPr="005F5F76" w:rsidR="003940F6">
        <w:rPr>
          <w:b/>
        </w:rPr>
        <w:t>s</w:t>
      </w:r>
      <w:r w:rsidRPr="005F5F76" w:rsidR="00FE0541">
        <w:rPr>
          <w:b/>
        </w:rPr>
        <w:t xml:space="preserve"> and tools</w:t>
      </w:r>
      <w:r w:rsidRPr="005F5F76" w:rsidR="003940F6">
        <w:t xml:space="preserve"> with the cohesion policy funds</w:t>
      </w:r>
      <w:r w:rsidRPr="005F5F76" w:rsidR="00FE0541">
        <w:t xml:space="preserve">, </w:t>
      </w:r>
      <w:r w:rsidRPr="005F5F76" w:rsidR="007F2C35">
        <w:t>especially</w:t>
      </w:r>
      <w:r w:rsidRPr="005F5F76" w:rsidR="00FE0541">
        <w:t xml:space="preserve"> financial instruments</w:t>
      </w:r>
      <w:r w:rsidRPr="005F5F76" w:rsidR="00B00ADC">
        <w:t xml:space="preserve">, </w:t>
      </w:r>
      <w:r w:rsidRPr="005F5F76" w:rsidR="003940F6">
        <w:t xml:space="preserve">thus </w:t>
      </w:r>
      <w:r w:rsidRPr="005F5F76" w:rsidR="00FE0541">
        <w:t>cover</w:t>
      </w:r>
      <w:r w:rsidRPr="005F5F76" w:rsidR="003940F6">
        <w:t>ing</w:t>
      </w:r>
      <w:r w:rsidRPr="005F5F76" w:rsidR="00FE0541">
        <w:t xml:space="preserve"> the </w:t>
      </w:r>
      <w:r w:rsidRPr="005F5F76" w:rsidR="00AC478A">
        <w:t>o</w:t>
      </w:r>
      <w:r w:rsidRPr="005F5F76" w:rsidR="00FE0541">
        <w:t xml:space="preserve">bjectives more </w:t>
      </w:r>
      <w:r w:rsidRPr="005F5F76" w:rsidR="00FE4538">
        <w:t>effectively. The</w:t>
      </w:r>
      <w:r w:rsidRPr="005F5F76" w:rsidR="00FE0541">
        <w:t xml:space="preserve"> mobilisation of private capital </w:t>
      </w:r>
      <w:r w:rsidRPr="005F5F76" w:rsidR="003940F6">
        <w:t xml:space="preserve">also </w:t>
      </w:r>
      <w:r w:rsidRPr="005F5F76" w:rsidR="00FE0541">
        <w:t xml:space="preserve">ensures </w:t>
      </w:r>
      <w:r w:rsidRPr="005F5F76" w:rsidR="003940F6">
        <w:t xml:space="preserve">and </w:t>
      </w:r>
      <w:r w:rsidRPr="005F5F76" w:rsidR="00FE0541">
        <w:t>multipl</w:t>
      </w:r>
      <w:r w:rsidRPr="005F5F76" w:rsidR="003940F6">
        <w:t>ies</w:t>
      </w:r>
      <w:r w:rsidRPr="005F5F76" w:rsidR="0060359F">
        <w:t xml:space="preserve"> </w:t>
      </w:r>
      <w:r w:rsidRPr="005F5F76" w:rsidR="003940F6">
        <w:t>the</w:t>
      </w:r>
      <w:r w:rsidRPr="005F5F76" w:rsidR="00FE0541">
        <w:t xml:space="preserve"> added value </w:t>
      </w:r>
      <w:r w:rsidRPr="005F5F76" w:rsidR="003940F6">
        <w:t xml:space="preserve">of investments </w:t>
      </w:r>
      <w:r w:rsidRPr="005F5F76" w:rsidR="00FE0541">
        <w:t xml:space="preserve">and </w:t>
      </w:r>
      <w:r w:rsidRPr="005F5F76" w:rsidR="00D83B52">
        <w:t xml:space="preserve">the </w:t>
      </w:r>
      <w:r w:rsidRPr="005F5F76" w:rsidR="003940F6">
        <w:t xml:space="preserve">wider </w:t>
      </w:r>
      <w:r w:rsidRPr="005F5F76" w:rsidR="00D83B52">
        <w:t>distribution of benefits.</w:t>
      </w:r>
    </w:p>
    <w:p w:rsidRPr="005F5F76" w:rsidR="001A2670" w:rsidP="0024003D" w:rsidRDefault="001A2670"/>
    <w:p w:rsidRPr="005F5F76" w:rsidR="008A01CF" w:rsidP="00BA1A9E" w:rsidRDefault="004D5461">
      <w:pPr>
        <w:pStyle w:val="Heading2"/>
        <w:ind w:left="567" w:hanging="567"/>
      </w:pPr>
      <w:r w:rsidRPr="005F5F76">
        <w:t xml:space="preserve">The </w:t>
      </w:r>
      <w:r w:rsidRPr="005F5F76" w:rsidR="00D83B52">
        <w:t>EESC welcomes the</w:t>
      </w:r>
      <w:r w:rsidRPr="005F5F76" w:rsidR="002F3DF0">
        <w:t xml:space="preserve"> improve</w:t>
      </w:r>
      <w:r w:rsidRPr="005F5F76" w:rsidR="00866595">
        <w:t>ment in</w:t>
      </w:r>
      <w:r w:rsidRPr="005F5F76" w:rsidR="00D837AD">
        <w:t xml:space="preserve"> </w:t>
      </w:r>
      <w:r w:rsidRPr="005F5F76" w:rsidR="0060359F">
        <w:t xml:space="preserve">the </w:t>
      </w:r>
      <w:r w:rsidRPr="005F5F76" w:rsidR="00D837AD">
        <w:rPr>
          <w:b/>
        </w:rPr>
        <w:t>flexibility</w:t>
      </w:r>
      <w:r w:rsidRPr="005F5F76" w:rsidR="00D837AD">
        <w:t xml:space="preserve"> </w:t>
      </w:r>
      <w:r w:rsidRPr="005F5F76" w:rsidR="00AC478A">
        <w:t>in</w:t>
      </w:r>
      <w:r w:rsidRPr="005F5F76" w:rsidR="00D837AD">
        <w:t xml:space="preserve"> </w:t>
      </w:r>
      <w:r w:rsidRPr="005F5F76" w:rsidR="00866595">
        <w:t xml:space="preserve">adapting </w:t>
      </w:r>
      <w:r w:rsidRPr="005F5F76" w:rsidR="00D837AD">
        <w:t>the funds and programmes to incoming contingenc</w:t>
      </w:r>
      <w:r w:rsidRPr="005F5F76" w:rsidR="00AC478A">
        <w:t>i</w:t>
      </w:r>
      <w:r w:rsidRPr="005F5F76" w:rsidR="00D837AD">
        <w:t>es</w:t>
      </w:r>
      <w:r w:rsidRPr="005F5F76" w:rsidR="00AC478A">
        <w:t>,</w:t>
      </w:r>
      <w:r w:rsidRPr="005F5F76" w:rsidR="002F3DF0">
        <w:t xml:space="preserve"> as proposed by the Commission</w:t>
      </w:r>
      <w:r w:rsidRPr="005F5F76" w:rsidR="00566672">
        <w:t xml:space="preserve">. </w:t>
      </w:r>
      <w:r w:rsidRPr="005F5F76" w:rsidR="002F3DF0">
        <w:t xml:space="preserve">The </w:t>
      </w:r>
      <w:r w:rsidRPr="005F5F76" w:rsidR="00AC478A">
        <w:t>proposed link between</w:t>
      </w:r>
      <w:r w:rsidRPr="005F5F76" w:rsidR="002F3DF0">
        <w:t xml:space="preserve"> the Country-Specific Recommendations </w:t>
      </w:r>
      <w:r w:rsidRPr="005F5F76" w:rsidR="00AC478A">
        <w:t xml:space="preserve">and </w:t>
      </w:r>
      <w:r w:rsidRPr="005F5F76" w:rsidR="002F3DF0">
        <w:t xml:space="preserve">the programming period and mid-term evaluation is important for </w:t>
      </w:r>
      <w:r w:rsidRPr="005F5F76" w:rsidR="00866595">
        <w:t xml:space="preserve">the effectiveness of </w:t>
      </w:r>
      <w:r w:rsidRPr="005F5F76" w:rsidR="002F3DF0">
        <w:t xml:space="preserve">the </w:t>
      </w:r>
      <w:r w:rsidRPr="005F5F76" w:rsidR="00AC478A">
        <w:t>funds</w:t>
      </w:r>
      <w:r w:rsidRPr="005F5F76" w:rsidR="00F57DB8">
        <w:t>.</w:t>
      </w:r>
      <w:r w:rsidRPr="005F5F76" w:rsidR="001F426E">
        <w:t xml:space="preserve"> However, it is necessary to pay close attention </w:t>
      </w:r>
      <w:r w:rsidRPr="005F5F76" w:rsidR="00F242F3">
        <w:t xml:space="preserve">should </w:t>
      </w:r>
      <w:r w:rsidRPr="005F5F76" w:rsidR="001F426E">
        <w:t xml:space="preserve">changes </w:t>
      </w:r>
      <w:r w:rsidRPr="005F5F76" w:rsidR="00AC478A">
        <w:t>becom</w:t>
      </w:r>
      <w:r w:rsidRPr="005F5F76" w:rsidR="00F242F3">
        <w:t>e</w:t>
      </w:r>
      <w:r w:rsidRPr="005F5F76" w:rsidR="00AC478A">
        <w:t xml:space="preserve"> </w:t>
      </w:r>
      <w:r w:rsidRPr="005F5F76" w:rsidR="001F426E">
        <w:t>too frequent</w:t>
      </w:r>
      <w:r w:rsidRPr="005F5F76" w:rsidR="00AC478A">
        <w:t>,</w:t>
      </w:r>
      <w:r w:rsidRPr="005F5F76" w:rsidR="001F426E">
        <w:t xml:space="preserve"> </w:t>
      </w:r>
      <w:r w:rsidRPr="005F5F76" w:rsidR="00F242F3">
        <w:t xml:space="preserve">as they are </w:t>
      </w:r>
      <w:r w:rsidRPr="005F5F76" w:rsidR="001F426E">
        <w:t xml:space="preserve">likely to distort the nature of the programming. In addition, the proposal to leave the resources </w:t>
      </w:r>
      <w:r w:rsidRPr="005F5F76" w:rsidR="00F06736">
        <w:t>un</w:t>
      </w:r>
      <w:r w:rsidRPr="005F5F76" w:rsidR="001F426E">
        <w:t>scheduled until the last two years is likely to make them hard to use for reasons of time.</w:t>
      </w:r>
    </w:p>
    <w:p w:rsidRPr="005F5F76" w:rsidR="001A2670" w:rsidP="00BA1A9E" w:rsidRDefault="001A2670">
      <w:pPr>
        <w:ind w:left="567" w:hanging="567"/>
      </w:pPr>
    </w:p>
    <w:p w:rsidRPr="005F5F76" w:rsidR="00B07469" w:rsidP="00BA1A9E" w:rsidRDefault="004D5461">
      <w:pPr>
        <w:pStyle w:val="Heading2"/>
        <w:ind w:left="567" w:hanging="567"/>
      </w:pPr>
      <w:r w:rsidRPr="005F5F76">
        <w:t xml:space="preserve">The </w:t>
      </w:r>
      <w:r w:rsidRPr="005F5F76" w:rsidR="001D474D">
        <w:t xml:space="preserve">EESC </w:t>
      </w:r>
      <w:r w:rsidRPr="005F5F76" w:rsidR="004F6DF2">
        <w:t>acknowledges</w:t>
      </w:r>
      <w:r w:rsidRPr="005F5F76" w:rsidR="001D474D">
        <w:t xml:space="preserve"> the </w:t>
      </w:r>
      <w:r w:rsidRPr="005F5F76" w:rsidR="004F6DF2">
        <w:t>increase</w:t>
      </w:r>
      <w:r w:rsidRPr="005F5F76">
        <w:t xml:space="preserve"> in the pr</w:t>
      </w:r>
      <w:r w:rsidRPr="005F5F76" w:rsidR="001F426E">
        <w:t>o</w:t>
      </w:r>
      <w:r w:rsidRPr="005F5F76">
        <w:t>posed 2021-2027 MFF compared to</w:t>
      </w:r>
      <w:r w:rsidRPr="005F5F76" w:rsidR="004F6DF2">
        <w:t xml:space="preserve"> the 2014-2020 MFF </w:t>
      </w:r>
      <w:r w:rsidRPr="005F5F76" w:rsidR="00411FF3">
        <w:t xml:space="preserve">in </w:t>
      </w:r>
      <w:r w:rsidRPr="005F5F76" w:rsidR="004F6DF2">
        <w:t xml:space="preserve">the </w:t>
      </w:r>
      <w:r w:rsidRPr="005F5F76" w:rsidR="001D474D">
        <w:t>percentage t</w:t>
      </w:r>
      <w:r w:rsidRPr="005F5F76" w:rsidR="008A01CF">
        <w:t xml:space="preserve">he Commission proposes </w:t>
      </w:r>
      <w:r w:rsidRPr="005F5F76" w:rsidR="004F6DF2">
        <w:t xml:space="preserve">to allocate to </w:t>
      </w:r>
      <w:r w:rsidRPr="005F5F76" w:rsidR="004F6DF2">
        <w:rPr>
          <w:b/>
        </w:rPr>
        <w:t>climate objectives</w:t>
      </w:r>
      <w:r w:rsidRPr="005F5F76" w:rsidR="004F6DF2">
        <w:t xml:space="preserve">, with </w:t>
      </w:r>
      <w:r w:rsidRPr="005F5F76" w:rsidR="008A01CF">
        <w:t xml:space="preserve">an expenditure of 30% of the ERDF and 37% of the </w:t>
      </w:r>
      <w:r w:rsidRPr="005F5F76" w:rsidR="00CF1F82">
        <w:t>CF</w:t>
      </w:r>
      <w:r w:rsidRPr="005F5F76" w:rsidR="00B819EC">
        <w:t xml:space="preserve">. </w:t>
      </w:r>
      <w:r w:rsidRPr="005F5F76" w:rsidR="00F764E8">
        <w:t xml:space="preserve">Given the </w:t>
      </w:r>
      <w:r w:rsidRPr="005F5F76">
        <w:t>paramount importance</w:t>
      </w:r>
      <w:r w:rsidRPr="005F5F76" w:rsidR="00F764E8">
        <w:t xml:space="preserve"> of this goal and the capability of both funds </w:t>
      </w:r>
      <w:r w:rsidRPr="005F5F76" w:rsidR="00F06736">
        <w:t xml:space="preserve">in </w:t>
      </w:r>
      <w:r w:rsidRPr="005F5F76" w:rsidR="00F764E8">
        <w:t xml:space="preserve">addressing it, </w:t>
      </w:r>
      <w:r w:rsidRPr="005F5F76">
        <w:t xml:space="preserve">the </w:t>
      </w:r>
      <w:r w:rsidRPr="005F5F76" w:rsidR="00F764E8">
        <w:t xml:space="preserve">EESC believes </w:t>
      </w:r>
      <w:r w:rsidRPr="005F5F76" w:rsidR="004F6DF2">
        <w:t>a</w:t>
      </w:r>
      <w:r w:rsidRPr="005F5F76" w:rsidR="00411FF3">
        <w:t>n</w:t>
      </w:r>
      <w:r w:rsidRPr="005F5F76" w:rsidR="004F6DF2">
        <w:t xml:space="preserve"> increase</w:t>
      </w:r>
      <w:r w:rsidRPr="005F5F76" w:rsidR="001D474D">
        <w:t xml:space="preserve"> should be </w:t>
      </w:r>
      <w:r w:rsidRPr="005F5F76" w:rsidR="00411FF3">
        <w:t xml:space="preserve">given further </w:t>
      </w:r>
      <w:r w:rsidRPr="005F5F76" w:rsidR="001D474D">
        <w:t>consider</w:t>
      </w:r>
      <w:r w:rsidRPr="005F5F76" w:rsidR="00411FF3">
        <w:t>ation</w:t>
      </w:r>
      <w:r w:rsidRPr="005F5F76" w:rsidR="004F6DF2">
        <w:t>.</w:t>
      </w:r>
    </w:p>
    <w:p w:rsidRPr="005F5F76" w:rsidR="001A2670" w:rsidP="00BA1A9E" w:rsidRDefault="001A2670">
      <w:pPr>
        <w:ind w:left="567" w:hanging="567"/>
      </w:pPr>
    </w:p>
    <w:p w:rsidRPr="005F5F76" w:rsidR="004F6DF2" w:rsidP="00BA1A9E" w:rsidRDefault="004F6DF2">
      <w:pPr>
        <w:pStyle w:val="Heading2"/>
        <w:ind w:left="567" w:hanging="567"/>
      </w:pPr>
      <w:r w:rsidRPr="005F5F76">
        <w:t xml:space="preserve">The Sustainable Development Goals </w:t>
      </w:r>
      <w:r w:rsidRPr="005F5F76" w:rsidR="00502528">
        <w:t xml:space="preserve">(SDGs) </w:t>
      </w:r>
      <w:r w:rsidRPr="005F5F76">
        <w:t xml:space="preserve">are </w:t>
      </w:r>
      <w:r w:rsidRPr="005F5F76" w:rsidR="00A045D4">
        <w:t>taken into account</w:t>
      </w:r>
      <w:r w:rsidRPr="005F5F76">
        <w:t xml:space="preserve"> by the </w:t>
      </w:r>
      <w:r w:rsidRPr="005F5F76" w:rsidR="007F2C35">
        <w:t>Commission</w:t>
      </w:r>
      <w:r w:rsidRPr="005F5F76">
        <w:t xml:space="preserve"> as </w:t>
      </w:r>
      <w:r w:rsidRPr="005F5F76" w:rsidR="005845E2">
        <w:t>a justification</w:t>
      </w:r>
      <w:r w:rsidRPr="005F5F76">
        <w:t xml:space="preserve"> for the proposed expenditure on climate objectives. </w:t>
      </w:r>
      <w:r w:rsidRPr="005F5F76" w:rsidR="004D5461">
        <w:t xml:space="preserve">The </w:t>
      </w:r>
      <w:r w:rsidRPr="005F5F76">
        <w:t xml:space="preserve">EESC believes </w:t>
      </w:r>
      <w:r w:rsidRPr="005F5F76" w:rsidR="00502528">
        <w:t xml:space="preserve">that </w:t>
      </w:r>
      <w:r w:rsidRPr="005F5F76">
        <w:t>the Commission should consider a</w:t>
      </w:r>
      <w:r w:rsidRPr="005F5F76" w:rsidR="005845E2">
        <w:t xml:space="preserve"> </w:t>
      </w:r>
      <w:r w:rsidRPr="005F5F76" w:rsidR="00502528">
        <w:t xml:space="preserve">broader </w:t>
      </w:r>
      <w:r w:rsidRPr="005F5F76">
        <w:t xml:space="preserve">alignment of the </w:t>
      </w:r>
      <w:r w:rsidRPr="005F5F76" w:rsidR="00502528">
        <w:t>proposed regulation and its</w:t>
      </w:r>
      <w:r w:rsidRPr="005F5F76">
        <w:t xml:space="preserve"> </w:t>
      </w:r>
      <w:r w:rsidRPr="005F5F76" w:rsidR="008F64CE">
        <w:t xml:space="preserve">five proposed </w:t>
      </w:r>
      <w:r w:rsidRPr="005F5F76" w:rsidR="004E116B">
        <w:t xml:space="preserve">priorities </w:t>
      </w:r>
      <w:r w:rsidRPr="005F5F76" w:rsidR="008F64CE">
        <w:t>for</w:t>
      </w:r>
      <w:r w:rsidRPr="005F5F76">
        <w:t xml:space="preserve"> the </w:t>
      </w:r>
      <w:r w:rsidRPr="005F5F76" w:rsidR="008F64CE">
        <w:t xml:space="preserve">programming and implementation of the </w:t>
      </w:r>
      <w:r w:rsidRPr="005F5F76">
        <w:t>funds</w:t>
      </w:r>
      <w:r w:rsidRPr="005F5F76" w:rsidR="004E116B">
        <w:t xml:space="preserve"> with the SDGs</w:t>
      </w:r>
      <w:r w:rsidRPr="005F5F76" w:rsidR="0060359F">
        <w:t xml:space="preserve">. </w:t>
      </w:r>
      <w:r w:rsidRPr="005F5F76" w:rsidR="004E116B">
        <w:t>This should take place by ensuring that the social and economic perspectives of the SDGs are also included in the regulation.</w:t>
      </w:r>
    </w:p>
    <w:p w:rsidRPr="005F5F76" w:rsidR="001A2670" w:rsidP="00BA1A9E" w:rsidRDefault="001A2670">
      <w:pPr>
        <w:ind w:left="567" w:hanging="567"/>
      </w:pPr>
    </w:p>
    <w:p w:rsidRPr="005F5F76" w:rsidR="00576C32" w:rsidP="001669CE" w:rsidRDefault="005845E2">
      <w:pPr>
        <w:pStyle w:val="Heading2"/>
        <w:ind w:left="567" w:hanging="567"/>
      </w:pPr>
      <w:r w:rsidRPr="005F5F76">
        <w:t xml:space="preserve">The Commission presents a </w:t>
      </w:r>
      <w:r w:rsidRPr="005F5F76">
        <w:rPr>
          <w:b/>
        </w:rPr>
        <w:t xml:space="preserve">multi-level </w:t>
      </w:r>
      <w:r w:rsidRPr="005F5F76" w:rsidR="007F2C35">
        <w:rPr>
          <w:b/>
        </w:rPr>
        <w:t>governance</w:t>
      </w:r>
      <w:r w:rsidRPr="005F5F76">
        <w:rPr>
          <w:b/>
        </w:rPr>
        <w:t xml:space="preserve"> model</w:t>
      </w:r>
      <w:r w:rsidRPr="005F5F76">
        <w:t xml:space="preserve"> which </w:t>
      </w:r>
      <w:r w:rsidRPr="005F5F76" w:rsidR="007F2C35">
        <w:t>emphasises</w:t>
      </w:r>
      <w:r w:rsidRPr="005F5F76">
        <w:t xml:space="preserve"> the shared management of the programmes between the Commission and the Member States,</w:t>
      </w:r>
      <w:r w:rsidRPr="005F5F76" w:rsidR="00240A75">
        <w:t xml:space="preserve"> </w:t>
      </w:r>
      <w:r w:rsidRPr="005F5F76" w:rsidR="008F4617">
        <w:t>which</w:t>
      </w:r>
      <w:r w:rsidRPr="005F5F76" w:rsidR="00F06736">
        <w:t xml:space="preserve"> </w:t>
      </w:r>
      <w:r w:rsidRPr="005F5F76" w:rsidR="00240A75">
        <w:t xml:space="preserve">now </w:t>
      </w:r>
      <w:r w:rsidRPr="005F5F76" w:rsidR="008F4617">
        <w:t xml:space="preserve">have </w:t>
      </w:r>
      <w:r w:rsidRPr="005F5F76" w:rsidR="00240A75">
        <w:t xml:space="preserve">more direct responsibility. The </w:t>
      </w:r>
      <w:r w:rsidRPr="005F5F76">
        <w:t xml:space="preserve">division of responsibilities </w:t>
      </w:r>
      <w:r w:rsidRPr="005F5F76" w:rsidR="00240A75">
        <w:t>is also clear</w:t>
      </w:r>
      <w:r w:rsidRPr="005F5F76" w:rsidR="00F06736">
        <w:t>er</w:t>
      </w:r>
      <w:r w:rsidRPr="005F5F76" w:rsidR="00240A75">
        <w:t xml:space="preserve">, </w:t>
      </w:r>
      <w:r w:rsidRPr="005F5F76">
        <w:t>and</w:t>
      </w:r>
      <w:r w:rsidRPr="005F5F76" w:rsidR="00240A75">
        <w:t xml:space="preserve"> the </w:t>
      </w:r>
      <w:r w:rsidRPr="005F5F76" w:rsidR="00E2114D">
        <w:t xml:space="preserve">contribution </w:t>
      </w:r>
      <w:r w:rsidRPr="005F5F76" w:rsidR="00240A75">
        <w:t>of the regional and local authorities</w:t>
      </w:r>
      <w:r w:rsidRPr="005F5F76" w:rsidR="00E50FCE">
        <w:t xml:space="preserve"> and</w:t>
      </w:r>
      <w:r w:rsidRPr="005F5F76" w:rsidR="00240A75">
        <w:t xml:space="preserve"> the soci</w:t>
      </w:r>
      <w:r w:rsidRPr="005F5F76" w:rsidR="00ED742D">
        <w:t>al</w:t>
      </w:r>
      <w:r w:rsidRPr="005F5F76" w:rsidR="00240A75">
        <w:t xml:space="preserve"> partners</w:t>
      </w:r>
      <w:r w:rsidRPr="005F5F76" w:rsidR="00ED742D">
        <w:t xml:space="preserve"> </w:t>
      </w:r>
      <w:r w:rsidRPr="005F5F76" w:rsidR="00240A75">
        <w:t>and civil society</w:t>
      </w:r>
      <w:r w:rsidRPr="005F5F76" w:rsidR="00E50FCE">
        <w:t xml:space="preserve"> </w:t>
      </w:r>
      <w:r w:rsidRPr="005F5F76" w:rsidR="00ED742D">
        <w:t>organisations</w:t>
      </w:r>
      <w:r w:rsidRPr="005F5F76" w:rsidR="00ED742D">
        <w:rPr>
          <w:rStyle w:val="FootnoteReference"/>
          <w:sz w:val="22"/>
        </w:rPr>
        <w:footnoteReference w:id="10"/>
      </w:r>
      <w:r w:rsidRPr="005F5F76" w:rsidR="00ED742D">
        <w:t xml:space="preserve"> </w:t>
      </w:r>
      <w:r w:rsidRPr="005F5F76" w:rsidR="008F4617">
        <w:t xml:space="preserve">has been </w:t>
      </w:r>
      <w:r w:rsidRPr="005F5F76" w:rsidR="00E50FCE">
        <w:t>increased</w:t>
      </w:r>
      <w:r w:rsidRPr="005F5F76" w:rsidR="00576C32">
        <w:t>.</w:t>
      </w:r>
      <w:r w:rsidRPr="005F5F76" w:rsidR="008F4617">
        <w:t xml:space="preserve"> However, strong guarantees and specific measures need to be introduced to empower the social partners and civil society organisations to play a vital role </w:t>
      </w:r>
      <w:r w:rsidRPr="005F5F76" w:rsidR="008F4617">
        <w:rPr>
          <w:b/>
        </w:rPr>
        <w:t>as intermediary bodies,</w:t>
      </w:r>
      <w:r w:rsidRPr="005F5F76" w:rsidR="008F4617">
        <w:t xml:space="preserve"> </w:t>
      </w:r>
      <w:r w:rsidRPr="005F5F76" w:rsidR="00F55D87">
        <w:t xml:space="preserve">developing projects more efficiently and </w:t>
      </w:r>
      <w:r w:rsidRPr="005F5F76" w:rsidR="008F4617">
        <w:t xml:space="preserve">bringing </w:t>
      </w:r>
      <w:r w:rsidRPr="005F5F76" w:rsidR="00F55D87">
        <w:t xml:space="preserve">them </w:t>
      </w:r>
      <w:r w:rsidRPr="005F5F76" w:rsidR="008F4617">
        <w:t>closer to their final beneficiaries.</w:t>
      </w:r>
    </w:p>
    <w:p w:rsidRPr="005F5F76" w:rsidR="001A2670" w:rsidP="00BA1A9E" w:rsidRDefault="001A2670">
      <w:pPr>
        <w:ind w:left="567" w:hanging="567"/>
      </w:pPr>
    </w:p>
    <w:p w:rsidRPr="005F5F76" w:rsidR="00687505" w:rsidP="0004094A" w:rsidRDefault="00687505">
      <w:pPr>
        <w:pStyle w:val="Heading2"/>
        <w:ind w:left="567" w:hanging="567"/>
      </w:pPr>
      <w:r w:rsidRPr="005F5F76">
        <w:t xml:space="preserve">The EESC underlines that there is a need for more partnership, participation and involvement of civil society organisations and other stakeholders in the monitoring of cohesion policy at EU level. In fact, the EESC notes that this deficit at EU level could be addressed by the EESC in a highly proactive, inclusive and effective manner. The EESC therefore proposes that a </w:t>
      </w:r>
      <w:r w:rsidRPr="005F5F76">
        <w:rPr>
          <w:b/>
        </w:rPr>
        <w:t>European Civil Society Cohesion Forum</w:t>
      </w:r>
      <w:r w:rsidRPr="005F5F76">
        <w:t xml:space="preserve"> be established to monitor cohesion policy, with the EESC available to fully facilitate its functioning.</w:t>
      </w:r>
    </w:p>
    <w:p w:rsidRPr="005F5F76" w:rsidR="001A2670" w:rsidP="00BA1A9E" w:rsidRDefault="001A2670">
      <w:pPr>
        <w:ind w:left="567" w:hanging="567"/>
      </w:pPr>
    </w:p>
    <w:p w:rsidRPr="005F5F76" w:rsidR="00D46213" w:rsidP="00BA1A9E" w:rsidRDefault="00576C32">
      <w:pPr>
        <w:pStyle w:val="Heading2"/>
        <w:ind w:left="567" w:hanging="567"/>
      </w:pPr>
      <w:r w:rsidRPr="005F5F76">
        <w:t xml:space="preserve">The </w:t>
      </w:r>
      <w:r w:rsidRPr="005F5F76" w:rsidR="0054292D">
        <w:t xml:space="preserve">EESC welcomes the fact that the </w:t>
      </w:r>
      <w:r w:rsidRPr="005F5F76">
        <w:t xml:space="preserve">Commission has opted to vary the traditional approach to </w:t>
      </w:r>
      <w:r w:rsidRPr="005F5F76">
        <w:rPr>
          <w:b/>
        </w:rPr>
        <w:t>Technical Assistance</w:t>
      </w:r>
      <w:r w:rsidRPr="005F5F76">
        <w:t xml:space="preserve"> by eliminating the </w:t>
      </w:r>
      <w:r w:rsidRPr="005F5F76" w:rsidR="0054292D">
        <w:t>p</w:t>
      </w:r>
      <w:r w:rsidRPr="005F5F76">
        <w:t xml:space="preserve">riority </w:t>
      </w:r>
      <w:r w:rsidRPr="005F5F76" w:rsidR="0054292D">
        <w:t>o</w:t>
      </w:r>
      <w:r w:rsidRPr="005F5F76">
        <w:t xml:space="preserve">bjective </w:t>
      </w:r>
      <w:r w:rsidRPr="005F5F76" w:rsidR="00202D56">
        <w:t>used to direct this support. Instead, the proposal suggest</w:t>
      </w:r>
      <w:r w:rsidRPr="005F5F76" w:rsidR="00E2114D">
        <w:t>s</w:t>
      </w:r>
      <w:r w:rsidRPr="005F5F76" w:rsidR="00202D56">
        <w:t xml:space="preserve"> a general flat rate of 2.5% of each programme, </w:t>
      </w:r>
      <w:r w:rsidRPr="005F5F76" w:rsidR="00322706">
        <w:t xml:space="preserve">adding </w:t>
      </w:r>
      <w:r w:rsidRPr="005F5F76" w:rsidR="00F06736">
        <w:t xml:space="preserve">up </w:t>
      </w:r>
      <w:r w:rsidRPr="005F5F76" w:rsidR="0054292D">
        <w:t xml:space="preserve">to </w:t>
      </w:r>
      <w:r w:rsidRPr="005F5F76" w:rsidR="00202D56">
        <w:t xml:space="preserve">100% of the investment, aimed at covering technical assistance expenses. Other investments </w:t>
      </w:r>
      <w:r w:rsidRPr="005F5F76" w:rsidR="0054292D">
        <w:t xml:space="preserve">made </w:t>
      </w:r>
      <w:r w:rsidRPr="005F5F76" w:rsidR="00202D56">
        <w:t>under the classification of Technical Assistance may also be co-financed, if needed, on top of that 2.5% rate. The EESC welcomes this sim</w:t>
      </w:r>
      <w:r w:rsidRPr="005F5F76" w:rsidR="00ED742D">
        <w:t>plified</w:t>
      </w:r>
      <w:r w:rsidRPr="005F5F76" w:rsidR="00202D56">
        <w:t xml:space="preserve"> approach</w:t>
      </w:r>
      <w:r w:rsidRPr="005F5F76" w:rsidR="00D46213">
        <w:t>.</w:t>
      </w:r>
      <w:r w:rsidRPr="005F5F76" w:rsidR="009938D2">
        <w:t xml:space="preserve"> In addition to prioritising the proportionality principle and improving flexibility and partnership governance, the Commission has opted not to limit the amount of the allocation aimed at the institutional capacity of partners, including bodies representing civil society.</w:t>
      </w:r>
    </w:p>
    <w:p w:rsidRPr="005F5F76" w:rsidR="001A2670" w:rsidP="0024003D" w:rsidRDefault="001A2670"/>
    <w:p w:rsidRPr="005F5F76" w:rsidR="00212BA7" w:rsidP="00BA1A9E" w:rsidRDefault="00212BA7">
      <w:pPr>
        <w:pStyle w:val="Heading2"/>
        <w:ind w:left="567" w:hanging="567"/>
      </w:pPr>
      <w:r w:rsidRPr="005F5F76">
        <w:t xml:space="preserve">The EESC </w:t>
      </w:r>
      <w:r w:rsidRPr="005F5F76" w:rsidR="009A12D9">
        <w:t xml:space="preserve">disagrees with </w:t>
      </w:r>
      <w:r w:rsidRPr="005F5F76">
        <w:t xml:space="preserve">the proposal to </w:t>
      </w:r>
      <w:r w:rsidRPr="005F5F76" w:rsidR="009938D2">
        <w:t xml:space="preserve">amend </w:t>
      </w:r>
      <w:r w:rsidRPr="005F5F76" w:rsidR="009938D2">
        <w:rPr>
          <w:b/>
        </w:rPr>
        <w:t xml:space="preserve">the </w:t>
      </w:r>
      <w:r w:rsidRPr="005F5F76">
        <w:rPr>
          <w:b/>
        </w:rPr>
        <w:t xml:space="preserve">N+3 </w:t>
      </w:r>
      <w:r w:rsidRPr="005F5F76" w:rsidR="009938D2">
        <w:rPr>
          <w:b/>
        </w:rPr>
        <w:t xml:space="preserve">rule </w:t>
      </w:r>
      <w:r w:rsidRPr="005F5F76">
        <w:rPr>
          <w:b/>
        </w:rPr>
        <w:t>to N+2</w:t>
      </w:r>
      <w:r w:rsidRPr="005F5F76">
        <w:t xml:space="preserve"> and invites the C</w:t>
      </w:r>
      <w:r w:rsidRPr="005F5F76" w:rsidR="009A12D9">
        <w:t>om</w:t>
      </w:r>
      <w:r w:rsidRPr="005F5F76">
        <w:t>mission to reconsider.</w:t>
      </w:r>
      <w:r w:rsidRPr="005F5F76" w:rsidR="009A12D9">
        <w:t xml:space="preserve"> </w:t>
      </w:r>
      <w:r w:rsidRPr="005F5F76" w:rsidR="00B8787E">
        <w:t>T</w:t>
      </w:r>
      <w:r w:rsidRPr="005F5F76">
        <w:t>he approach to flexibility in these terms should be closer to the needs of th</w:t>
      </w:r>
      <w:r w:rsidRPr="005F5F76" w:rsidR="00B8787E">
        <w:t>ose</w:t>
      </w:r>
      <w:r w:rsidRPr="005F5F76">
        <w:t xml:space="preserve"> countries</w:t>
      </w:r>
      <w:r w:rsidRPr="005F5F76" w:rsidR="00B8787E">
        <w:t>,</w:t>
      </w:r>
      <w:r w:rsidRPr="005F5F76">
        <w:t xml:space="preserve"> </w:t>
      </w:r>
      <w:r w:rsidRPr="005F5F76" w:rsidR="00B8787E">
        <w:t xml:space="preserve">regions, sub-regions, local communities and stakeholders </w:t>
      </w:r>
      <w:r w:rsidRPr="005F5F76">
        <w:t xml:space="preserve">which have </w:t>
      </w:r>
      <w:r w:rsidRPr="005F5F76" w:rsidR="009A12D9">
        <w:t xml:space="preserve">experienced </w:t>
      </w:r>
      <w:r w:rsidRPr="005F5F76" w:rsidR="00B8787E">
        <w:t xml:space="preserve">the </w:t>
      </w:r>
      <w:r w:rsidRPr="005F5F76" w:rsidR="009A12D9">
        <w:t>greate</w:t>
      </w:r>
      <w:r w:rsidRPr="005F5F76" w:rsidR="00B8787E">
        <w:t>st</w:t>
      </w:r>
      <w:r w:rsidRPr="005F5F76">
        <w:t xml:space="preserve"> difficulties in implement</w:t>
      </w:r>
      <w:r w:rsidRPr="005F5F76" w:rsidR="009A12D9">
        <w:t>ing</w:t>
      </w:r>
      <w:r w:rsidRPr="005F5F76">
        <w:t xml:space="preserve"> the programmes</w:t>
      </w:r>
      <w:r w:rsidRPr="005F5F76" w:rsidR="00322706">
        <w:t xml:space="preserve"> </w:t>
      </w:r>
      <w:r w:rsidRPr="005F5F76" w:rsidR="007B63E3">
        <w:t>and should adapt the implementation process to the capacities of the different Member States and the conditions prevailing in them</w:t>
      </w:r>
      <w:r w:rsidRPr="005F5F76">
        <w:t xml:space="preserve">. </w:t>
      </w:r>
      <w:r w:rsidRPr="005F5F76" w:rsidR="007B63E3">
        <w:t>The reintroduction</w:t>
      </w:r>
      <w:r w:rsidRPr="005F5F76">
        <w:t xml:space="preserve"> of the N+2 rule </w:t>
      </w:r>
      <w:r w:rsidRPr="005F5F76" w:rsidR="007B63E3">
        <w:t xml:space="preserve">also requires </w:t>
      </w:r>
      <w:r w:rsidRPr="005F5F76">
        <w:t>a higher level of efficiency in programm</w:t>
      </w:r>
      <w:r w:rsidRPr="005F5F76" w:rsidR="007B63E3">
        <w:t>ing</w:t>
      </w:r>
      <w:r w:rsidRPr="005F5F76">
        <w:t xml:space="preserve"> and implement</w:t>
      </w:r>
      <w:r w:rsidRPr="005F5F76" w:rsidR="007B63E3">
        <w:t>ing</w:t>
      </w:r>
      <w:r w:rsidRPr="005F5F76">
        <w:t>, with a year less for the certification of payments.</w:t>
      </w:r>
    </w:p>
    <w:p w:rsidRPr="005F5F76" w:rsidR="007C5D8D" w:rsidP="00BA1A9E" w:rsidRDefault="007C5D8D">
      <w:pPr>
        <w:ind w:left="567" w:hanging="567"/>
      </w:pPr>
    </w:p>
    <w:p w:rsidRPr="005F5F76" w:rsidR="00761BF3" w:rsidP="00BA1A9E" w:rsidRDefault="005E0ED3">
      <w:pPr>
        <w:pStyle w:val="Heading1"/>
        <w:keepNext/>
        <w:keepLines/>
        <w:tabs>
          <w:tab w:val="left" w:pos="720"/>
          <w:tab w:val="left" w:pos="1440"/>
          <w:tab w:val="left" w:pos="2160"/>
          <w:tab w:val="left" w:pos="3068"/>
        </w:tabs>
        <w:ind w:left="567" w:hanging="567"/>
      </w:pPr>
      <w:r w:rsidRPr="005F5F76">
        <w:rPr>
          <w:b/>
        </w:rPr>
        <w:t>Specific comments</w:t>
      </w:r>
    </w:p>
    <w:p w:rsidRPr="005F5F76" w:rsidR="00576C32" w:rsidP="00BA1A9E" w:rsidRDefault="00576C32">
      <w:pPr>
        <w:keepNext/>
        <w:keepLines/>
        <w:ind w:left="567" w:hanging="567"/>
      </w:pPr>
    </w:p>
    <w:p w:rsidRPr="005F5F76" w:rsidR="00B97876" w:rsidP="0024003D" w:rsidRDefault="009E5E2D">
      <w:pPr>
        <w:pStyle w:val="Heading2"/>
        <w:ind w:left="567" w:hanging="567"/>
      </w:pPr>
      <w:r w:rsidRPr="005F5F76">
        <w:t xml:space="preserve">The EESC believes that the specific objectives for the ERDF and CF (Article 2) should include areas such as </w:t>
      </w:r>
      <w:r w:rsidRPr="005F5F76">
        <w:rPr>
          <w:b/>
        </w:rPr>
        <w:t xml:space="preserve">the social economy and accessibility of infrastructure </w:t>
      </w:r>
      <w:r w:rsidRPr="005F5F76">
        <w:t xml:space="preserve">and services for all EU citizens, and that there should be specific references to </w:t>
      </w:r>
      <w:r w:rsidRPr="005F5F76">
        <w:rPr>
          <w:b/>
        </w:rPr>
        <w:t>sparsely populated areas and islands</w:t>
      </w:r>
      <w:r w:rsidRPr="005F5F76" w:rsidR="00973C28">
        <w:t xml:space="preserve">, in accordance with </w:t>
      </w:r>
      <w:r w:rsidRPr="005F5F76" w:rsidR="00804EE5">
        <w:t>A</w:t>
      </w:r>
      <w:r w:rsidRPr="005F5F76" w:rsidR="00973C28">
        <w:t xml:space="preserve">rticle 174 of the Treaty </w:t>
      </w:r>
      <w:r w:rsidRPr="005F5F76" w:rsidR="00804EE5">
        <w:t>on</w:t>
      </w:r>
      <w:r w:rsidRPr="005F5F76" w:rsidR="00973C28">
        <w:t xml:space="preserve"> the Functioning of the European Union</w:t>
      </w:r>
      <w:r w:rsidRPr="005F5F76">
        <w:t>.</w:t>
      </w:r>
    </w:p>
    <w:p w:rsidRPr="005F5F76" w:rsidR="00F224F7" w:rsidP="00BA1A9E" w:rsidRDefault="00F224F7">
      <w:pPr>
        <w:ind w:left="567" w:hanging="567"/>
      </w:pPr>
    </w:p>
    <w:p w:rsidRPr="005F5F76" w:rsidR="009E5E2D" w:rsidP="0004094A" w:rsidRDefault="009E5E2D">
      <w:pPr>
        <w:pStyle w:val="Heading2"/>
        <w:ind w:left="567" w:hanging="567"/>
      </w:pPr>
      <w:r w:rsidRPr="005F5F76">
        <w:t xml:space="preserve">The EESC believes that Annexes I and II should be reviewed accordingly in order to translate the previous areas into common output and </w:t>
      </w:r>
      <w:r w:rsidRPr="005F5F76">
        <w:rPr>
          <w:b/>
        </w:rPr>
        <w:t>result indicators</w:t>
      </w:r>
      <w:r w:rsidRPr="005F5F76">
        <w:t xml:space="preserve"> as well as </w:t>
      </w:r>
      <w:r w:rsidRPr="005F5F76">
        <w:rPr>
          <w:b/>
        </w:rPr>
        <w:t>performance indicators</w:t>
      </w:r>
      <w:r w:rsidRPr="005F5F76">
        <w:t>.</w:t>
      </w:r>
    </w:p>
    <w:p w:rsidRPr="005F5F76" w:rsidR="009E5E2D" w:rsidP="00BA1A9E" w:rsidRDefault="009E5E2D">
      <w:pPr>
        <w:ind w:left="567" w:hanging="567"/>
      </w:pPr>
    </w:p>
    <w:p w:rsidRPr="005F5F76" w:rsidR="009E5E2D" w:rsidP="0004094A" w:rsidRDefault="009E5E2D">
      <w:pPr>
        <w:pStyle w:val="Heading2"/>
        <w:ind w:left="567" w:hanging="567"/>
      </w:pPr>
      <w:r w:rsidRPr="005F5F76">
        <w:t xml:space="preserve">Although the EESC acknowledges that PO1 and PO2 are policy objectives with high added value, it points out that placing very high percentages for these two areas in all three regional groups would undermine the efficiency of the ERDF and CF in tackling POs 3 to 5. It therefore asks the Commission to revisit the </w:t>
      </w:r>
      <w:r w:rsidRPr="005F5F76">
        <w:rPr>
          <w:b/>
        </w:rPr>
        <w:t>thematic concentration requirements</w:t>
      </w:r>
      <w:r w:rsidRPr="005F5F76">
        <w:t xml:space="preserve"> (Article 3.4) in order to balance efforts to properly tackle social inequalities, including poverty and discrimination, something that is needed in order to achieve inclusive growth.</w:t>
      </w:r>
    </w:p>
    <w:p w:rsidRPr="005F5F76" w:rsidR="009E5E2D" w:rsidP="00BA1A9E" w:rsidRDefault="009E5E2D">
      <w:pPr>
        <w:ind w:left="567" w:hanging="567"/>
      </w:pPr>
    </w:p>
    <w:p w:rsidRPr="005F5F76" w:rsidR="009E5E2D" w:rsidP="0024003D" w:rsidRDefault="009E5E2D">
      <w:pPr>
        <w:pStyle w:val="Heading2"/>
        <w:ind w:left="567" w:hanging="567"/>
      </w:pPr>
      <w:r w:rsidRPr="005F5F76">
        <w:t xml:space="preserve">The EESC highlights the fact that urban development is closely linked to modernising and innovating local infrastructure and services, and therefore welcomes the inclusion of a </w:t>
      </w:r>
      <w:r w:rsidRPr="005F5F76">
        <w:rPr>
          <w:b/>
        </w:rPr>
        <w:t>European Urban Initiative</w:t>
      </w:r>
      <w:r w:rsidRPr="005F5F76">
        <w:t xml:space="preserve"> in the ERDF</w:t>
      </w:r>
      <w:r w:rsidRPr="005F5F76" w:rsidR="008861E3">
        <w:t>, linked to the European Urban Agenda</w:t>
      </w:r>
      <w:r w:rsidRPr="005F5F76">
        <w:t xml:space="preserve">. However, the EESC </w:t>
      </w:r>
      <w:r w:rsidRPr="005F5F76" w:rsidR="00E76BEF">
        <w:t xml:space="preserve">strongly recommends </w:t>
      </w:r>
      <w:r w:rsidRPr="005F5F76" w:rsidR="00804EE5">
        <w:t xml:space="preserve">that </w:t>
      </w:r>
      <w:r w:rsidRPr="005F5F76" w:rsidR="00E76BEF">
        <w:t>the Commission increase the financial support to this initiative and at the same time make</w:t>
      </w:r>
      <w:r w:rsidRPr="005F5F76" w:rsidR="00804EE5">
        <w:t>s</w:t>
      </w:r>
      <w:r w:rsidRPr="005F5F76" w:rsidR="00E76BEF">
        <w:t xml:space="preserve"> it </w:t>
      </w:r>
      <w:r w:rsidRPr="005F5F76" w:rsidR="006D7BEE">
        <w:t>cross-cutting</w:t>
      </w:r>
      <w:r w:rsidRPr="005F5F76" w:rsidR="00E76BEF">
        <w:t xml:space="preserve"> </w:t>
      </w:r>
      <w:r w:rsidRPr="005F5F76" w:rsidR="006D7BEE">
        <w:t>to cover</w:t>
      </w:r>
      <w:r w:rsidRPr="005F5F76" w:rsidR="00E76BEF">
        <w:t xml:space="preserve"> the three pillars of the SDGs 2030 Agenda, for instance, </w:t>
      </w:r>
      <w:r w:rsidRPr="005F5F76" w:rsidR="006D7BEE">
        <w:t xml:space="preserve">so as </w:t>
      </w:r>
      <w:r w:rsidRPr="005F5F76" w:rsidR="00E76BEF">
        <w:t xml:space="preserve">to develop </w:t>
      </w:r>
      <w:r w:rsidRPr="005F5F76">
        <w:t>smart and accessible cities.</w:t>
      </w:r>
    </w:p>
    <w:p w:rsidRPr="005F5F76" w:rsidR="009E5E2D" w:rsidP="00BA1A9E" w:rsidRDefault="009E5E2D">
      <w:pPr>
        <w:ind w:left="567" w:hanging="567"/>
      </w:pPr>
    </w:p>
    <w:p w:rsidRPr="005F5F76" w:rsidR="009E5E2D" w:rsidP="00350847" w:rsidRDefault="009E5E2D">
      <w:pPr>
        <w:pStyle w:val="Heading2"/>
        <w:keepNext/>
        <w:ind w:left="567" w:hanging="567"/>
      </w:pPr>
      <w:r w:rsidRPr="005F5F76">
        <w:t xml:space="preserve">The EESC welcomes the inclusion of horizontal enabling condition 4, requiring national frameworks for the implementation of the </w:t>
      </w:r>
      <w:r w:rsidRPr="005F5F76">
        <w:rPr>
          <w:b/>
        </w:rPr>
        <w:t>UNCRPD</w:t>
      </w:r>
      <w:r w:rsidRPr="005F5F76">
        <w:t>. Nevertheless, it considers that:</w:t>
      </w:r>
    </w:p>
    <w:p w:rsidRPr="005F5F76" w:rsidR="009E5E2D" w:rsidP="00350847" w:rsidRDefault="009E5E2D">
      <w:pPr>
        <w:keepNext/>
        <w:ind w:left="567" w:hanging="567"/>
      </w:pPr>
    </w:p>
    <w:p w:rsidRPr="005F5F76" w:rsidR="009E5E2D" w:rsidP="0004094A" w:rsidRDefault="009E5E2D">
      <w:pPr>
        <w:pStyle w:val="Heading3"/>
        <w:ind w:left="567" w:hanging="567"/>
      </w:pPr>
      <w:r w:rsidRPr="005F5F76">
        <w:t xml:space="preserve">Since the EU is a state party to the UNCRPD and therefore implementation by the EU is obligatory, it is appropriate that the </w:t>
      </w:r>
      <w:r w:rsidRPr="005F5F76">
        <w:rPr>
          <w:b/>
        </w:rPr>
        <w:t>UNCRPD be embedded in the legal basis</w:t>
      </w:r>
      <w:r w:rsidRPr="005F5F76">
        <w:t xml:space="preserve"> of the proposed ERDF and CF regulation.</w:t>
      </w:r>
    </w:p>
    <w:p w:rsidRPr="005F5F76" w:rsidR="009E5E2D" w:rsidP="00BA1A9E" w:rsidRDefault="009E5E2D">
      <w:pPr>
        <w:ind w:left="567" w:hanging="567"/>
      </w:pPr>
    </w:p>
    <w:p w:rsidRPr="005F5F76" w:rsidR="009E5E2D" w:rsidP="0004094A" w:rsidRDefault="009E5E2D">
      <w:pPr>
        <w:pStyle w:val="Heading3"/>
        <w:ind w:left="567" w:hanging="567"/>
      </w:pPr>
      <w:r w:rsidRPr="005F5F76">
        <w:rPr>
          <w:b/>
        </w:rPr>
        <w:t>Accessibility</w:t>
      </w:r>
      <w:r w:rsidRPr="005F5F76">
        <w:t xml:space="preserve"> for persons with disabilities, including the accessibility of goods, services and infrastructures, </w:t>
      </w:r>
      <w:r w:rsidRPr="005F5F76">
        <w:rPr>
          <w:b/>
        </w:rPr>
        <w:t>should be included in the scope</w:t>
      </w:r>
      <w:r w:rsidRPr="005F5F76">
        <w:t xml:space="preserve"> of the proposed regulation and set </w:t>
      </w:r>
      <w:r w:rsidRPr="005F5F76">
        <w:rPr>
          <w:b/>
        </w:rPr>
        <w:t>as a mandatory criterion for funding projects</w:t>
      </w:r>
      <w:r w:rsidRPr="005F5F76">
        <w:t xml:space="preserve"> in each sector covered. The EESC therefore strongly recommends that point 5 of the introduction of the proposed ERDF and CF regulation – </w:t>
      </w:r>
      <w:r w:rsidRPr="005F5F76">
        <w:rPr>
          <w:i/>
        </w:rPr>
        <w:t>'Member States should also respect the obligations of the UN Convention on the Rights of Persons with Disabilities and ensure accessibility in line with its Article 9 and in accordance with the Union law harmonising accessibility requirements for products and services'</w:t>
      </w:r>
      <w:r w:rsidRPr="005F5F76">
        <w:t xml:space="preserve"> – should be included in the main text of the regulation.</w:t>
      </w:r>
    </w:p>
    <w:p w:rsidRPr="005F5F76" w:rsidR="009E5E2D" w:rsidP="00BA1A9E" w:rsidRDefault="009E5E2D">
      <w:pPr>
        <w:ind w:left="567" w:hanging="567"/>
      </w:pPr>
    </w:p>
    <w:p w:rsidRPr="005F5F76" w:rsidR="009E5E2D" w:rsidP="0004094A" w:rsidRDefault="009E5E2D">
      <w:pPr>
        <w:pStyle w:val="Heading3"/>
        <w:ind w:left="567" w:hanging="567"/>
      </w:pPr>
      <w:r w:rsidRPr="005F5F76">
        <w:t xml:space="preserve">The </w:t>
      </w:r>
      <w:r w:rsidRPr="005F5F76">
        <w:rPr>
          <w:b/>
        </w:rPr>
        <w:t>European acquis</w:t>
      </w:r>
      <w:r w:rsidRPr="005F5F76">
        <w:t xml:space="preserve"> has developed a cross-cutting approach to the promotion of </w:t>
      </w:r>
      <w:r w:rsidRPr="005F5F76">
        <w:rPr>
          <w:b/>
        </w:rPr>
        <w:t>equality, non-discrimination and accessibility</w:t>
      </w:r>
      <w:r w:rsidRPr="005F5F76">
        <w:t xml:space="preserve"> for persons with disabilities in the programming and implementation of the funds through </w:t>
      </w:r>
      <w:r w:rsidRPr="005F5F76">
        <w:rPr>
          <w:b/>
        </w:rPr>
        <w:t>Article 7</w:t>
      </w:r>
      <w:r w:rsidRPr="005F5F76">
        <w:t xml:space="preserve"> of the current CPR</w:t>
      </w:r>
      <w:r w:rsidRPr="005F5F76" w:rsidR="00622477">
        <w:rPr>
          <w:rStyle w:val="FootnoteReference"/>
        </w:rPr>
        <w:footnoteReference w:id="11"/>
      </w:r>
      <w:r w:rsidRPr="005F5F76">
        <w:t xml:space="preserve"> and </w:t>
      </w:r>
      <w:r w:rsidRPr="005F5F76">
        <w:rPr>
          <w:b/>
        </w:rPr>
        <w:t>Article 16</w:t>
      </w:r>
      <w:r w:rsidRPr="005F5F76">
        <w:t xml:space="preserve"> of the CPR 2007-2013. The EESC therefore strongly recommends </w:t>
      </w:r>
      <w:r w:rsidRPr="005F5F76">
        <w:rPr>
          <w:b/>
        </w:rPr>
        <w:t>reincorporating Article 7</w:t>
      </w:r>
      <w:r w:rsidRPr="005F5F76">
        <w:t xml:space="preserve"> of the CPR 2014-2020 into the proposed new CPR</w:t>
      </w:r>
      <w:r w:rsidRPr="005F5F76" w:rsidR="000A00DC">
        <w:t>.</w:t>
      </w:r>
    </w:p>
    <w:p w:rsidRPr="005F5F76" w:rsidR="009E5E2D" w:rsidP="00BA1A9E" w:rsidRDefault="009E5E2D">
      <w:pPr>
        <w:ind w:left="567" w:hanging="567"/>
      </w:pPr>
    </w:p>
    <w:p w:rsidRPr="005F5F76" w:rsidR="00F224F7" w:rsidP="0004094A" w:rsidRDefault="00F224F7">
      <w:pPr>
        <w:pStyle w:val="Heading2"/>
        <w:ind w:left="567" w:hanging="567"/>
      </w:pPr>
      <w:r w:rsidRPr="005F5F76">
        <w:t xml:space="preserve">The EESC </w:t>
      </w:r>
      <w:r w:rsidRPr="005F5F76" w:rsidR="00C732D3">
        <w:t xml:space="preserve">is disappointed </w:t>
      </w:r>
      <w:r w:rsidRPr="005F5F76">
        <w:t xml:space="preserve">to see that the commitment under the ERDF </w:t>
      </w:r>
      <w:r w:rsidRPr="005F5F76" w:rsidR="00C732D3">
        <w:t xml:space="preserve">which </w:t>
      </w:r>
      <w:r w:rsidRPr="005F5F76">
        <w:t xml:space="preserve">started in the 2014-2020 MFF to promote the </w:t>
      </w:r>
      <w:r w:rsidRPr="005F5F76">
        <w:rPr>
          <w:b/>
        </w:rPr>
        <w:t>transition from institutional to community-based care</w:t>
      </w:r>
      <w:r w:rsidRPr="005F5F76">
        <w:t xml:space="preserve"> has not been followed up in the proposed regulation. Article 2(d) of the proposed ERDF regulation prioritises increas</w:t>
      </w:r>
      <w:r w:rsidRPr="005F5F76" w:rsidR="00B72BC6">
        <w:t>ing</w:t>
      </w:r>
      <w:r w:rsidRPr="005F5F76">
        <w:t xml:space="preserve"> socio</w:t>
      </w:r>
      <w:r w:rsidRPr="005F5F76" w:rsidR="00B72BC6">
        <w:t>-</w:t>
      </w:r>
      <w:r w:rsidRPr="005F5F76">
        <w:t xml:space="preserve">economic integration </w:t>
      </w:r>
      <w:r w:rsidRPr="005F5F76" w:rsidR="00280A00">
        <w:t>'</w:t>
      </w:r>
      <w:r w:rsidRPr="005F5F76">
        <w:t>through integrated measures including housing and social services</w:t>
      </w:r>
      <w:r w:rsidRPr="005F5F76" w:rsidR="00280A00">
        <w:t>'</w:t>
      </w:r>
      <w:r w:rsidRPr="005F5F76">
        <w:t xml:space="preserve">. While this is an important provision, it is not certain that this specific objective is enough to ensure that people, especially the most disadvantaged ones, </w:t>
      </w:r>
      <w:r w:rsidRPr="005F5F76" w:rsidR="004E0C12">
        <w:t xml:space="preserve">will </w:t>
      </w:r>
      <w:r w:rsidRPr="005F5F76">
        <w:t xml:space="preserve">be included in the community through targeted investments </w:t>
      </w:r>
      <w:r w:rsidRPr="005F5F76" w:rsidR="009A12D9">
        <w:t xml:space="preserve">in </w:t>
      </w:r>
      <w:r w:rsidRPr="005F5F76">
        <w:t>deinstitutionali</w:t>
      </w:r>
      <w:r w:rsidRPr="005F5F76" w:rsidR="00D86E68">
        <w:t>s</w:t>
      </w:r>
      <w:r w:rsidRPr="005F5F76">
        <w:t xml:space="preserve">ation. </w:t>
      </w:r>
      <w:r w:rsidRPr="005F5F76" w:rsidR="004E0C12">
        <w:t xml:space="preserve">In view of the fact </w:t>
      </w:r>
      <w:r w:rsidRPr="005F5F76" w:rsidR="009A12D9">
        <w:t xml:space="preserve">that </w:t>
      </w:r>
      <w:r w:rsidRPr="005F5F76">
        <w:t>ERDF investments are crucial for the social inclusion, the EESC proposes to ensure that</w:t>
      </w:r>
      <w:r w:rsidRPr="005F5F76" w:rsidR="009A12D9">
        <w:t xml:space="preserve"> the</w:t>
      </w:r>
      <w:r w:rsidRPr="005F5F76">
        <w:t xml:space="preserve"> ERDF invest</w:t>
      </w:r>
      <w:r w:rsidRPr="005F5F76" w:rsidR="004E0C12">
        <w:t>s</w:t>
      </w:r>
      <w:r w:rsidRPr="005F5F76">
        <w:t xml:space="preserve"> </w:t>
      </w:r>
      <w:r w:rsidRPr="005F5F76" w:rsidR="00D77A23">
        <w:t xml:space="preserve">only </w:t>
      </w:r>
      <w:r w:rsidRPr="005F5F76">
        <w:t>in services that support social inclusion and that the use of funds for building or renovating segregat</w:t>
      </w:r>
      <w:r w:rsidRPr="005F5F76" w:rsidR="00322706">
        <w:t>ed</w:t>
      </w:r>
      <w:r w:rsidRPr="005F5F76">
        <w:t xml:space="preserve"> institutional care facilities </w:t>
      </w:r>
      <w:r w:rsidRPr="005F5F76" w:rsidR="00A47831">
        <w:t>is excluded from the scope of the ERDF and CF</w:t>
      </w:r>
      <w:r w:rsidRPr="005F5F76">
        <w:t xml:space="preserve">. It is crucial </w:t>
      </w:r>
      <w:r w:rsidRPr="005F5F76" w:rsidR="00322706">
        <w:t xml:space="preserve">that </w:t>
      </w:r>
      <w:r w:rsidRPr="005F5F76">
        <w:t xml:space="preserve">both the positive incentive and the negative obligation </w:t>
      </w:r>
      <w:r w:rsidRPr="005F5F76" w:rsidR="00D77A23">
        <w:t xml:space="preserve">be </w:t>
      </w:r>
      <w:r w:rsidRPr="005F5F76">
        <w:t>maintained</w:t>
      </w:r>
      <w:r w:rsidRPr="005F5F76" w:rsidR="00CB3063">
        <w:t>,</w:t>
      </w:r>
      <w:r w:rsidRPr="005F5F76">
        <w:t xml:space="preserve"> but also strengthened</w:t>
      </w:r>
      <w:r w:rsidRPr="005F5F76" w:rsidR="00CB3063">
        <w:t>,</w:t>
      </w:r>
      <w:r w:rsidRPr="005F5F76">
        <w:t xml:space="preserve"> in the proposed ERDF regulation.</w:t>
      </w:r>
    </w:p>
    <w:p w:rsidRPr="005F5F76" w:rsidR="00C23AB2" w:rsidP="005F5F76" w:rsidRDefault="00C23AB2"/>
    <w:p w:rsidRPr="005F5F76" w:rsidR="007B07D1" w:rsidP="0024003D" w:rsidRDefault="003532CA">
      <w:pPr>
        <w:pStyle w:val="Heading2"/>
        <w:ind w:left="567" w:hanging="567"/>
      </w:pPr>
      <w:r w:rsidRPr="005F5F76">
        <w:t xml:space="preserve">Although it is proposed that one third of ESF+ funding should support the implementation of the </w:t>
      </w:r>
      <w:r w:rsidRPr="005F5F76">
        <w:rPr>
          <w:b/>
        </w:rPr>
        <w:t>European Pillar of Social Rights</w:t>
      </w:r>
      <w:r w:rsidRPr="005F5F76">
        <w:t xml:space="preserve">, the EESC strongly believes that funding from the ERDF budget should be prioritised to effectively support the implementation of PO 4. The EESC therefore </w:t>
      </w:r>
      <w:r w:rsidRPr="005F5F76" w:rsidR="00695296">
        <w:t>firmly</w:t>
      </w:r>
      <w:r w:rsidRPr="005F5F76">
        <w:t xml:space="preserve"> recommends that a minimum of 10% be allocated to PO 4 of the ERDF, establishing the </w:t>
      </w:r>
      <w:r w:rsidRPr="005F5F76">
        <w:rPr>
          <w:b/>
        </w:rPr>
        <w:t xml:space="preserve">Social Sustainability Regional Initiative </w:t>
      </w:r>
      <w:r w:rsidRPr="005F5F76">
        <w:t>(SSRI</w:t>
      </w:r>
      <w:r w:rsidRPr="005F5F76" w:rsidR="00C23AB2">
        <w:t>)</w:t>
      </w:r>
      <w:r w:rsidRPr="005F5F76" w:rsidR="00695296">
        <w:t>, in order to promote social inclusion and accessibility in a systematic and coherent manner</w:t>
      </w:r>
      <w:r w:rsidRPr="005F5F76" w:rsidR="00C23AB2">
        <w:t>.</w:t>
      </w:r>
    </w:p>
    <w:p w:rsidRPr="005F5F76" w:rsidR="003532CA" w:rsidP="00BA1A9E" w:rsidRDefault="003532CA">
      <w:pPr>
        <w:tabs>
          <w:tab w:val="left" w:pos="720"/>
          <w:tab w:val="left" w:pos="1440"/>
          <w:tab w:val="left" w:pos="2160"/>
          <w:tab w:val="left" w:pos="3068"/>
        </w:tabs>
        <w:ind w:left="567" w:hanging="567"/>
      </w:pPr>
    </w:p>
    <w:p w:rsidRPr="005F5F76" w:rsidR="00780006" w:rsidP="00BA1A9E" w:rsidRDefault="00780006">
      <w:pPr>
        <w:tabs>
          <w:tab w:val="left" w:pos="720"/>
          <w:tab w:val="left" w:pos="1440"/>
          <w:tab w:val="left" w:pos="2160"/>
          <w:tab w:val="left" w:pos="3068"/>
        </w:tabs>
        <w:ind w:left="567" w:hanging="567"/>
      </w:pPr>
      <w:r w:rsidRPr="005F5F76">
        <w:t xml:space="preserve">Brussels, </w:t>
      </w:r>
      <w:r w:rsidRPr="005F5F76" w:rsidR="000D36B5">
        <w:t>17</w:t>
      </w:r>
      <w:r w:rsidRPr="005F5F76">
        <w:t xml:space="preserve"> October 2018</w:t>
      </w:r>
    </w:p>
    <w:p w:rsidRPr="005F5F76" w:rsidR="00780006" w:rsidP="00BA1A9E" w:rsidRDefault="00780006">
      <w:pPr>
        <w:tabs>
          <w:tab w:val="left" w:pos="720"/>
          <w:tab w:val="left" w:pos="1440"/>
          <w:tab w:val="left" w:pos="2160"/>
          <w:tab w:val="left" w:pos="3068"/>
        </w:tabs>
        <w:ind w:left="567" w:hanging="567"/>
      </w:pPr>
    </w:p>
    <w:p w:rsidRPr="005F5F76" w:rsidR="00780006" w:rsidP="00BA1A9E" w:rsidRDefault="00780006">
      <w:pPr>
        <w:tabs>
          <w:tab w:val="left" w:pos="720"/>
          <w:tab w:val="left" w:pos="1440"/>
          <w:tab w:val="left" w:pos="2160"/>
          <w:tab w:val="left" w:pos="3068"/>
        </w:tabs>
        <w:ind w:left="567" w:hanging="567"/>
      </w:pPr>
    </w:p>
    <w:p w:rsidRPr="005F5F76" w:rsidR="00780006" w:rsidP="00BA1A9E" w:rsidRDefault="00780006">
      <w:pPr>
        <w:tabs>
          <w:tab w:val="left" w:pos="720"/>
          <w:tab w:val="left" w:pos="1440"/>
          <w:tab w:val="left" w:pos="2160"/>
          <w:tab w:val="left" w:pos="3068"/>
        </w:tabs>
        <w:ind w:left="567" w:hanging="567"/>
      </w:pPr>
    </w:p>
    <w:p w:rsidRPr="005F5F76" w:rsidR="00780006" w:rsidP="00BA1A9E" w:rsidRDefault="00780006">
      <w:pPr>
        <w:tabs>
          <w:tab w:val="left" w:pos="720"/>
          <w:tab w:val="left" w:pos="1440"/>
          <w:tab w:val="left" w:pos="2160"/>
          <w:tab w:val="left" w:pos="3068"/>
        </w:tabs>
        <w:ind w:left="567" w:hanging="567"/>
      </w:pPr>
    </w:p>
    <w:p w:rsidRPr="005F5F76" w:rsidR="00780006" w:rsidP="00780006" w:rsidRDefault="000D36B5">
      <w:pPr>
        <w:tabs>
          <w:tab w:val="left" w:pos="720"/>
          <w:tab w:val="left" w:pos="1440"/>
          <w:tab w:val="left" w:pos="2160"/>
          <w:tab w:val="left" w:pos="3068"/>
        </w:tabs>
        <w:ind w:left="567" w:hanging="567"/>
      </w:pPr>
      <w:r w:rsidRPr="005F5F76">
        <w:t>Luca JAHIER</w:t>
      </w:r>
    </w:p>
    <w:p w:rsidRPr="005F5F76" w:rsidR="00780006" w:rsidP="009052C3" w:rsidRDefault="00780006">
      <w:r w:rsidRPr="005F5F76">
        <w:t xml:space="preserve">The president of the </w:t>
      </w:r>
      <w:r w:rsidRPr="005F5F76" w:rsidR="000D36B5">
        <w:t xml:space="preserve">European </w:t>
      </w:r>
      <w:r w:rsidRPr="005F5F76">
        <w:t xml:space="preserve">Economic and Social </w:t>
      </w:r>
      <w:r w:rsidRPr="005F5F76" w:rsidR="000D36B5">
        <w:t>Committee</w:t>
      </w:r>
    </w:p>
    <w:p w:rsidRPr="005F5F76" w:rsidR="006074F0" w:rsidP="00780006" w:rsidRDefault="006074F0">
      <w:pPr>
        <w:tabs>
          <w:tab w:val="left" w:pos="720"/>
          <w:tab w:val="left" w:pos="1440"/>
          <w:tab w:val="left" w:pos="2160"/>
          <w:tab w:val="left" w:pos="3068"/>
        </w:tabs>
        <w:ind w:left="567" w:hanging="567"/>
      </w:pPr>
    </w:p>
    <w:p w:rsidRPr="005F5F76" w:rsidR="00646AC2" w:rsidP="00BA1A9E" w:rsidRDefault="00646AC2">
      <w:pPr>
        <w:ind w:left="720" w:hanging="720"/>
        <w:jc w:val="center"/>
      </w:pPr>
      <w:r w:rsidRPr="005F5F76">
        <w:t>_____________</w:t>
      </w:r>
    </w:p>
    <w:sectPr w:rsidRPr="005F5F76" w:rsidR="00646AC2" w:rsidSect="005F5F76">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89A" w:rsidRDefault="0090589A">
      <w:r>
        <w:separator/>
      </w:r>
    </w:p>
    <w:p w:rsidR="0090589A" w:rsidRDefault="0090589A"/>
  </w:endnote>
  <w:endnote w:type="continuationSeparator" w:id="0">
    <w:p w:rsidR="0090589A" w:rsidRDefault="0090589A">
      <w:r>
        <w:continuationSeparator/>
      </w:r>
    </w:p>
    <w:p w:rsidR="0090589A" w:rsidRDefault="0090589A"/>
  </w:endnote>
  <w:endnote w:type="continuationNotice" w:id="1">
    <w:p w:rsidR="0090589A" w:rsidRDefault="009058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F5F76" w:rsidR="005F5F76" w:rsidP="005F5F76" w:rsidRDefault="005F5F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F5F76" w:rsidR="00375979" w:rsidP="005F5F76" w:rsidRDefault="005F5F76">
    <w:pPr>
      <w:pStyle w:val="Footer"/>
    </w:pPr>
    <w:r>
      <w:t xml:space="preserve">ECO/462 – EESC-2018-03269-00-00-AC-TRA (EN) </w:t>
    </w:r>
    <w:r>
      <w:fldChar w:fldCharType="begin"/>
    </w:r>
    <w:r>
      <w:instrText xml:space="preserve"> PAGE  \* Arabic  \* MERGEFORMAT </w:instrText>
    </w:r>
    <w:r>
      <w:fldChar w:fldCharType="separate"/>
    </w:r>
    <w:r w:rsidR="00117782">
      <w:rPr>
        <w:noProof/>
      </w:rPr>
      <w:t>1</w:t>
    </w:r>
    <w:r>
      <w:fldChar w:fldCharType="end"/>
    </w:r>
    <w:r>
      <w:t>/</w:t>
    </w:r>
    <w:r>
      <w:fldChar w:fldCharType="begin"/>
    </w:r>
    <w:r>
      <w:instrText xml:space="preserve"> = </w:instrText>
    </w:r>
    <w:r w:rsidR="00D866AE">
      <w:rPr>
        <w:noProof/>
      </w:rPr>
      <w:fldChar w:fldCharType="begin"/>
    </w:r>
    <w:r w:rsidR="00D866AE">
      <w:rPr>
        <w:noProof/>
      </w:rPr>
      <w:instrText xml:space="preserve"> NUMPAGES </w:instrText>
    </w:r>
    <w:r w:rsidR="00D866AE">
      <w:rPr>
        <w:noProof/>
      </w:rPr>
      <w:fldChar w:fldCharType="separate"/>
    </w:r>
    <w:r w:rsidR="00117782">
      <w:rPr>
        <w:noProof/>
      </w:rPr>
      <w:instrText>2</w:instrText>
    </w:r>
    <w:r w:rsidR="00D866AE">
      <w:rPr>
        <w:noProof/>
      </w:rPr>
      <w:fldChar w:fldCharType="end"/>
    </w:r>
    <w:r>
      <w:instrText xml:space="preserve"> -0 </w:instrText>
    </w:r>
    <w:r>
      <w:fldChar w:fldCharType="separate"/>
    </w:r>
    <w:r w:rsidR="0011778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F5F76" w:rsidR="005F5F76" w:rsidP="005F5F76" w:rsidRDefault="005F5F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F5F76" w:rsidR="00375979" w:rsidP="005F5F76" w:rsidRDefault="003759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F5F76" w:rsidR="00375979" w:rsidP="005F5F76" w:rsidRDefault="005F5F76">
    <w:pPr>
      <w:pStyle w:val="Footer"/>
    </w:pPr>
    <w:r>
      <w:t xml:space="preserve">ECO/462 – EESC-2018-03269-00-00-AC-TRA (EN) </w:t>
    </w:r>
    <w:r>
      <w:fldChar w:fldCharType="begin"/>
    </w:r>
    <w:r>
      <w:instrText xml:space="preserve"> PAGE  \* Arabic  \* MERGEFORMAT </w:instrText>
    </w:r>
    <w:r>
      <w:fldChar w:fldCharType="separate"/>
    </w:r>
    <w:r w:rsidR="00C76AD5">
      <w:rPr>
        <w:noProof/>
      </w:rPr>
      <w:t>11</w:t>
    </w:r>
    <w:r>
      <w:fldChar w:fldCharType="end"/>
    </w:r>
    <w:r>
      <w:t>/</w:t>
    </w:r>
    <w:r>
      <w:fldChar w:fldCharType="begin"/>
    </w:r>
    <w:r>
      <w:instrText xml:space="preserve"> = </w:instrText>
    </w:r>
    <w:r w:rsidR="00D866AE">
      <w:rPr>
        <w:noProof/>
      </w:rPr>
      <w:fldChar w:fldCharType="begin"/>
    </w:r>
    <w:r w:rsidR="00D866AE">
      <w:rPr>
        <w:noProof/>
      </w:rPr>
      <w:instrText xml:space="preserve"> NUMPAGES </w:instrText>
    </w:r>
    <w:r w:rsidR="00D866AE">
      <w:rPr>
        <w:noProof/>
      </w:rPr>
      <w:fldChar w:fldCharType="separate"/>
    </w:r>
    <w:r w:rsidR="00C76AD5">
      <w:rPr>
        <w:noProof/>
      </w:rPr>
      <w:instrText>11</w:instrText>
    </w:r>
    <w:r w:rsidR="00D866AE">
      <w:rPr>
        <w:noProof/>
      </w:rPr>
      <w:fldChar w:fldCharType="end"/>
    </w:r>
    <w:r>
      <w:instrText xml:space="preserve"> -0 </w:instrText>
    </w:r>
    <w:r>
      <w:fldChar w:fldCharType="separate"/>
    </w:r>
    <w:r w:rsidR="00C76AD5">
      <w:rPr>
        <w:noProof/>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F5F76" w:rsidR="00375979" w:rsidP="005F5F76" w:rsidRDefault="00375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89A" w:rsidRDefault="0090589A">
      <w:r>
        <w:separator/>
      </w:r>
    </w:p>
  </w:footnote>
  <w:footnote w:type="continuationSeparator" w:id="0">
    <w:p w:rsidR="0090589A" w:rsidRDefault="0090589A">
      <w:r>
        <w:continuationSeparator/>
      </w:r>
    </w:p>
    <w:p w:rsidR="0090589A" w:rsidRDefault="0090589A"/>
  </w:footnote>
  <w:footnote w:type="continuationNotice" w:id="1">
    <w:p w:rsidR="0090589A" w:rsidRDefault="0090589A">
      <w:pPr>
        <w:spacing w:line="240" w:lineRule="auto"/>
      </w:pPr>
    </w:p>
  </w:footnote>
  <w:footnote w:id="2">
    <w:p w:rsidRPr="005F5F76" w:rsidR="00375979" w:rsidP="00B307AC" w:rsidRDefault="00375979">
      <w:pPr>
        <w:pStyle w:val="FootnoteText"/>
      </w:pPr>
      <w:r w:rsidRPr="005F5F76">
        <w:rPr>
          <w:rStyle w:val="FootnoteReference"/>
        </w:rPr>
        <w:footnoteRef/>
      </w:r>
      <w:r w:rsidRPr="005F5F76">
        <w:tab/>
      </w:r>
      <w:hyperlink w:history="1" r:id="rId1">
        <w:r w:rsidRPr="005F5F76">
          <w:rPr>
            <w:rStyle w:val="Hyperlink"/>
          </w:rPr>
          <w:t>COM(2018) 372 final – 2018/0197 (COD)</w:t>
        </w:r>
      </w:hyperlink>
      <w:r w:rsidRPr="005F5F76">
        <w:t xml:space="preserve">, </w:t>
      </w:r>
      <w:hyperlink w:history="1" r:id="rId2">
        <w:r w:rsidRPr="005F5F76">
          <w:rPr>
            <w:rStyle w:val="Hyperlink"/>
          </w:rPr>
          <w:t>COM(2018) 372 final – ANNEX I</w:t>
        </w:r>
      </w:hyperlink>
      <w:r w:rsidRPr="005F5F76">
        <w:t xml:space="preserve">, </w:t>
      </w:r>
      <w:hyperlink w:history="1" r:id="rId3">
        <w:r w:rsidRPr="005F5F76">
          <w:rPr>
            <w:rStyle w:val="Hyperlink"/>
          </w:rPr>
          <w:t>COM(2018) 372 final – ANNEX II</w:t>
        </w:r>
      </w:hyperlink>
      <w:r w:rsidRPr="005F5F76">
        <w:t>.</w:t>
      </w:r>
    </w:p>
  </w:footnote>
  <w:footnote w:id="3">
    <w:p w:rsidRPr="005F5F76" w:rsidR="00375979" w:rsidP="00B307AC" w:rsidRDefault="00375979">
      <w:pPr>
        <w:pStyle w:val="FootnoteText"/>
      </w:pPr>
      <w:r w:rsidRPr="005F5F76">
        <w:rPr>
          <w:rStyle w:val="FootnoteReference"/>
        </w:rPr>
        <w:footnoteRef/>
      </w:r>
      <w:r w:rsidRPr="005F5F76">
        <w:t xml:space="preserve"> </w:t>
      </w:r>
      <w:r w:rsidRPr="005F5F76">
        <w:tab/>
      </w:r>
      <w:hyperlink w:history="1" r:id="rId4">
        <w:r w:rsidRPr="005F5F76">
          <w:rPr>
            <w:rStyle w:val="Hyperlink"/>
          </w:rPr>
          <w:t>COM(2018) 375 final</w:t>
        </w:r>
      </w:hyperlink>
      <w:r w:rsidRPr="009052C3" w:rsidR="00C17CC6">
        <w:t>.</w:t>
      </w:r>
      <w:r w:rsidRPr="00C76AD5">
        <w:t xml:space="preserve"> </w:t>
      </w:r>
    </w:p>
  </w:footnote>
  <w:footnote w:id="4">
    <w:p w:rsidRPr="005F5F76" w:rsidR="00375979" w:rsidRDefault="00375979">
      <w:pPr>
        <w:pStyle w:val="FootnoteText"/>
      </w:pPr>
      <w:r w:rsidRPr="005F5F76">
        <w:rPr>
          <w:rStyle w:val="FootnoteReference"/>
        </w:rPr>
        <w:footnoteRef/>
      </w:r>
      <w:r w:rsidRPr="005F5F76">
        <w:tab/>
      </w:r>
      <w:r w:rsidRPr="005F5F76" w:rsidR="00FF7B15">
        <w:t>See</w:t>
      </w:r>
      <w:r w:rsidRPr="005F5F76">
        <w:t xml:space="preserve"> EESC's</w:t>
      </w:r>
      <w:r w:rsidRPr="005F5F76" w:rsidR="00FF7B15">
        <w:t xml:space="preserve"> opinion on</w:t>
      </w:r>
      <w:r w:rsidRPr="005F5F76">
        <w:t xml:space="preserve"> </w:t>
      </w:r>
      <w:hyperlink w:history="1" r:id="rId5">
        <w:r w:rsidR="00C76AD5">
          <w:rPr>
            <w:rStyle w:val="Hyperlink"/>
          </w:rPr>
          <w:t>Multiannual Financial Framework post 2020 (not yet published)</w:t>
        </w:r>
      </w:hyperlink>
      <w:r w:rsidRPr="005F5F76" w:rsidR="000D0BA0">
        <w:t>.</w:t>
      </w:r>
    </w:p>
  </w:footnote>
  <w:footnote w:id="5">
    <w:p w:rsidRPr="005F5F76" w:rsidR="00375979" w:rsidRDefault="00375979">
      <w:pPr>
        <w:pStyle w:val="FootnoteText"/>
      </w:pPr>
      <w:r w:rsidRPr="005F5F76">
        <w:rPr>
          <w:rStyle w:val="FootnoteReference"/>
        </w:rPr>
        <w:footnoteRef/>
      </w:r>
      <w:r w:rsidRPr="005F5F76">
        <w:t xml:space="preserve"> </w:t>
      </w:r>
      <w:r w:rsidRPr="005F5F76">
        <w:tab/>
      </w:r>
      <w:r w:rsidRPr="005F5F76" w:rsidR="00374E02">
        <w:t>See</w:t>
      </w:r>
      <w:r w:rsidRPr="005F5F76">
        <w:t xml:space="preserve"> </w:t>
      </w:r>
      <w:hyperlink w:history="1" r:id="rId6">
        <w:r w:rsidR="00C76AD5">
          <w:rPr>
            <w:rStyle w:val="Hyperlink"/>
          </w:rPr>
          <w:t>EESC's opinion on Multiannual Financial Framework post 2020 (not yet published)</w:t>
        </w:r>
      </w:hyperlink>
      <w:r w:rsidRPr="005F5F76" w:rsidR="000D0BA0">
        <w:t>.</w:t>
      </w:r>
    </w:p>
  </w:footnote>
  <w:footnote w:id="6">
    <w:p w:rsidRPr="005F5F76" w:rsidR="00375979" w:rsidRDefault="00375979">
      <w:pPr>
        <w:pStyle w:val="FootnoteText"/>
      </w:pPr>
      <w:r w:rsidRPr="005F5F76">
        <w:rPr>
          <w:rStyle w:val="FootnoteReference"/>
        </w:rPr>
        <w:footnoteRef/>
      </w:r>
      <w:r w:rsidRPr="005F5F76">
        <w:t xml:space="preserve"> </w:t>
      </w:r>
      <w:r w:rsidRPr="005F5F76">
        <w:tab/>
        <w:t xml:space="preserve">Article 7 of the Common Provisions Regulation 2014-2020 has been removed, as the Commission has opted for the inclusion of an obligation on the Member States regarding the selection of projects, through Article 67 of the proposal for a Common Provisions Regulation (CPR), for the 2021-2027 MFF. However, Article 67 does not include any mention of accessibility. </w:t>
      </w:r>
    </w:p>
  </w:footnote>
  <w:footnote w:id="7">
    <w:p w:rsidRPr="005F5F76" w:rsidR="00375979" w:rsidRDefault="00375979">
      <w:pPr>
        <w:pStyle w:val="FootnoteText"/>
      </w:pPr>
      <w:r w:rsidRPr="005F5F76">
        <w:rPr>
          <w:rStyle w:val="FootnoteReference"/>
        </w:rPr>
        <w:footnoteRef/>
      </w:r>
      <w:r w:rsidRPr="005F5F76">
        <w:t xml:space="preserve"> </w:t>
      </w:r>
      <w:r w:rsidRPr="005F5F76">
        <w:tab/>
        <w:t>The new proposal for a thematic concentration of the ERDF classifies Member States in three groups according to their GNI: 'group 1' for those with a GNI ratio equal to or above 100% of the EU average; 'group 2' for those with a ratio equal to or above 75% and below 100%; and 'group 3' for those where the ratio is below 75% of the EU average, as well as for the outermost regions regarding their programmes dedicated to the 'Investment for jobs and growth' goal. The thematic concentration requirements for the different regional groups propose that 'group 1' Member States allocate at least 85% of their resources to PO 1 and PO 2 and at least 60% to PO 1; that 'group 2' focus at least 45% of the budget on priorities under PO 1 and at least 30% to PO 2, and that 'group 3' allocate at least 35% of their resources to PO 1 and a minimum of 30% to PO 2.</w:t>
      </w:r>
    </w:p>
  </w:footnote>
  <w:footnote w:id="8">
    <w:p w:rsidRPr="005F5F76" w:rsidR="00375979" w:rsidRDefault="00375979">
      <w:pPr>
        <w:pStyle w:val="FootnoteText"/>
      </w:pPr>
      <w:r w:rsidRPr="005F5F76">
        <w:rPr>
          <w:rStyle w:val="FootnoteReference"/>
        </w:rPr>
        <w:footnoteRef/>
      </w:r>
      <w:r w:rsidRPr="005F5F76">
        <w:t xml:space="preserve"> </w:t>
      </w:r>
      <w:r w:rsidRPr="005F5F76">
        <w:tab/>
      </w:r>
      <w:hyperlink w:history="1" r:id="rId7">
        <w:r w:rsidRPr="005F5F76">
          <w:rPr>
            <w:rStyle w:val="Hyperlink"/>
          </w:rPr>
          <w:t>SEC(2018) 268</w:t>
        </w:r>
      </w:hyperlink>
      <w:r w:rsidRPr="005F5F76">
        <w:t>.</w:t>
      </w:r>
    </w:p>
  </w:footnote>
  <w:footnote w:id="9">
    <w:p w:rsidRPr="005F5F76" w:rsidR="00375979" w:rsidRDefault="00375979">
      <w:pPr>
        <w:pStyle w:val="FootnoteText"/>
      </w:pPr>
      <w:r w:rsidRPr="005F5F76">
        <w:rPr>
          <w:rStyle w:val="FootnoteReference"/>
        </w:rPr>
        <w:footnoteRef/>
      </w:r>
      <w:r w:rsidRPr="005F5F76">
        <w:t xml:space="preserve"> </w:t>
      </w:r>
      <w:r w:rsidRPr="005F5F76">
        <w:tab/>
      </w:r>
      <w:hyperlink w:history="1" r:id="rId8">
        <w:r w:rsidRPr="005F5F76" w:rsidR="00474DE4">
          <w:rPr>
            <w:rStyle w:val="Hyperlink"/>
          </w:rPr>
          <w:t>COM(2018) 391 – 2018/0213 (</w:t>
        </w:r>
        <w:r w:rsidRPr="005F5F76">
          <w:rPr>
            <w:rStyle w:val="Hyperlink"/>
          </w:rPr>
          <w:t>COD</w:t>
        </w:r>
        <w:r w:rsidRPr="005F5F76" w:rsidR="00474DE4">
          <w:rPr>
            <w:rStyle w:val="Hyperlink"/>
          </w:rPr>
          <w:t>)</w:t>
        </w:r>
        <w:r w:rsidRPr="009052C3" w:rsidR="00474DE4">
          <w:t>.</w:t>
        </w:r>
      </w:hyperlink>
      <w:r w:rsidRPr="005F5F76" w:rsidR="00474DE4">
        <w:t xml:space="preserve"> </w:t>
      </w:r>
    </w:p>
  </w:footnote>
  <w:footnote w:id="10">
    <w:p w:rsidRPr="005F5F76" w:rsidR="00375979" w:rsidP="00ED742D" w:rsidRDefault="00375979">
      <w:pPr>
        <w:pStyle w:val="FootnoteText"/>
      </w:pPr>
      <w:r w:rsidRPr="005F5F76">
        <w:rPr>
          <w:rStyle w:val="FootnoteReference"/>
        </w:rPr>
        <w:footnoteRef/>
      </w:r>
      <w:r w:rsidRPr="005F5F76">
        <w:t xml:space="preserve"> </w:t>
      </w:r>
      <w:r w:rsidRPr="005F5F76">
        <w:tab/>
        <w:t>This includes the environmental partners and bodies responsible for promoting social inclusion, fundamental rights, rights of persons with disabilities, gender equality and non-discrimination, as referred to in Article 6 of the CPR proposal.</w:t>
      </w:r>
    </w:p>
  </w:footnote>
  <w:footnote w:id="11">
    <w:p w:rsidRPr="005F5F76" w:rsidR="00375979" w:rsidRDefault="00375979">
      <w:pPr>
        <w:pStyle w:val="FootnoteText"/>
      </w:pPr>
      <w:r w:rsidRPr="005F5F76">
        <w:rPr>
          <w:rStyle w:val="FootnoteReference"/>
        </w:rPr>
        <w:footnoteRef/>
      </w:r>
      <w:r w:rsidRPr="005F5F76">
        <w:t xml:space="preserve"> </w:t>
      </w:r>
      <w:r w:rsidRPr="005F5F76">
        <w:tab/>
      </w:r>
      <w:hyperlink w:history="1" r:id="rId9">
        <w:r w:rsidRPr="005F5F76">
          <w:rPr>
            <w:rStyle w:val="Hyperlink"/>
          </w:rPr>
          <w:t>Regulation (EU) No 1301/2013</w:t>
        </w:r>
      </w:hyperlink>
      <w:r w:rsidRPr="009052C3" w:rsidR="00BC478C">
        <w:t>.</w:t>
      </w:r>
      <w:r w:rsidRPr="00C76AD5">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F5F76" w:rsidR="005F5F76" w:rsidP="005F5F76" w:rsidRDefault="005F5F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F5F76" w:rsidR="005F5F76" w:rsidP="005F5F76" w:rsidRDefault="005F5F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F5F76" w:rsidR="005F5F76" w:rsidP="005F5F76" w:rsidRDefault="005F5F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F5F76" w:rsidR="00375979" w:rsidP="005F5F76" w:rsidRDefault="003759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F5F76" w:rsidR="00375979" w:rsidP="005F5F76" w:rsidRDefault="0037597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5F5F76" w:rsidR="00375979" w:rsidP="005F5F76" w:rsidRDefault="003759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A74434E"/>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3C1584E"/>
    <w:multiLevelType w:val="hybridMultilevel"/>
    <w:tmpl w:val="D0A03A44"/>
    <w:lvl w:ilvl="0" w:tplc="D97A96F6">
      <w:start w:val="1"/>
      <w:numFmt w:val="lowerRoman"/>
      <w:lvlText w:val="%1)"/>
      <w:lvlJc w:val="left"/>
      <w:pPr>
        <w:ind w:left="1287" w:hanging="36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2">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3EA6F87"/>
    <w:multiLevelType w:val="hybridMultilevel"/>
    <w:tmpl w:val="C5E6A306"/>
    <w:lvl w:ilvl="0" w:tplc="DCC872C8">
      <w:start w:val="1"/>
      <w:numFmt w:val="lowerRoman"/>
      <w:lvlText w:val="(%1)"/>
      <w:lvlJc w:val="left"/>
      <w:pPr>
        <w:ind w:left="1287" w:hanging="72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4">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2"/>
  </w:num>
  <w:num w:numId="66">
    <w:abstractNumId w:val="0"/>
  </w:num>
  <w:num w:numId="67">
    <w:abstractNumId w:val="0"/>
  </w:num>
  <w:num w:numId="68">
    <w:abstractNumId w:val="0"/>
  </w:num>
  <w:num w:numId="69">
    <w:abstractNumId w:val="0"/>
  </w:num>
  <w:num w:numId="70">
    <w:abstractNumId w:val="0"/>
  </w:num>
  <w:num w:numId="71">
    <w:abstractNumId w:val="4"/>
  </w:num>
  <w:num w:numId="72">
    <w:abstractNumId w:val="0"/>
  </w:num>
  <w:num w:numId="73">
    <w:abstractNumId w:val="0"/>
  </w:num>
  <w:num w:numId="74">
    <w:abstractNumId w:val="0"/>
  </w:num>
  <w:num w:numId="75">
    <w:abstractNumId w:val="1"/>
  </w:num>
  <w:num w:numId="76">
    <w:abstractNumId w:val="3"/>
  </w:num>
  <w:num w:numId="77">
    <w:abstractNumId w:val="0"/>
  </w:num>
  <w:num w:numId="78">
    <w:abstractNumId w:val="0"/>
  </w:num>
  <w:num w:numId="79">
    <w:abstractNumId w:val="0"/>
  </w:num>
  <w:num w:numId="80">
    <w:abstractNumId w:val="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lp">
    <w15:presenceInfo w15:providerId="None" w15:userId="shalp"/>
  </w15:person>
  <w15:person w15:author="mkop">
    <w15:presenceInfo w15:providerId="None" w15:userId="mk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lang="fr-FR" w:vendorID="64" w:dllVersion="131078" w:nlCheck="1" w:checkStyle="0" w:appName="MSWord"/>
  <w:activeWritingStyle w:lang="en-GB" w:vendorID="64" w:dllVersion="131078" w:nlCheck="1" w:checkStyle="1" w:appName="MSWord"/>
  <w:activeWritingStyle w:lang="en-US" w:vendorID="64" w:dllVersion="131078" w:nlCheck="1" w:checkStyle="1" w:appName="MSWord"/>
  <w:activeWritingStyle w:lang="it-IT" w:vendorID="64" w:dllVersion="131078" w:nlCheck="1" w:checkStyle="0" w:appName="MSWord"/>
  <w:activeWritingStyle w:lang="es-ES" w:vendorID="64" w:dllVersion="131078" w:nlCheck="1" w:checkStyle="0" w:appName="MSWord"/>
  <w:activeWritingStyle w:lang="pt-PT" w:vendorID="64" w:dllVersion="131078" w:nlCheck="1" w:checkStyle="0" w:appName="MSWord"/>
  <w:activeWritingStyle w:lang="es-ES_tradnl" w:vendorID="64" w:dllVersion="131078" w:nlCheck="1" w:checkStyle="0" w:appName="MSWord"/>
  <w:activeWritingStyle w:lang="fr-BE" w:vendorID="64" w:dllVersion="131078" w:nlCheck="1" w:checkStyle="0" w:appName="MSWord"/>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2770"/>
    <w:rsid w:val="00005AB9"/>
    <w:rsid w:val="00005EB9"/>
    <w:rsid w:val="00006E24"/>
    <w:rsid w:val="00007A40"/>
    <w:rsid w:val="00011D33"/>
    <w:rsid w:val="000158E6"/>
    <w:rsid w:val="00020E6E"/>
    <w:rsid w:val="000238E1"/>
    <w:rsid w:val="00023FEF"/>
    <w:rsid w:val="0002726A"/>
    <w:rsid w:val="00031A4B"/>
    <w:rsid w:val="00032201"/>
    <w:rsid w:val="000324CF"/>
    <w:rsid w:val="00033913"/>
    <w:rsid w:val="00033E5B"/>
    <w:rsid w:val="000357A8"/>
    <w:rsid w:val="0004094A"/>
    <w:rsid w:val="00043071"/>
    <w:rsid w:val="000430A6"/>
    <w:rsid w:val="00044923"/>
    <w:rsid w:val="00050A5A"/>
    <w:rsid w:val="0005249C"/>
    <w:rsid w:val="00053398"/>
    <w:rsid w:val="000534A5"/>
    <w:rsid w:val="00055C9D"/>
    <w:rsid w:val="0005680D"/>
    <w:rsid w:val="00062409"/>
    <w:rsid w:val="00062900"/>
    <w:rsid w:val="00063FB4"/>
    <w:rsid w:val="0006793E"/>
    <w:rsid w:val="00071FF2"/>
    <w:rsid w:val="00072E0F"/>
    <w:rsid w:val="000735E5"/>
    <w:rsid w:val="00073602"/>
    <w:rsid w:val="0007392F"/>
    <w:rsid w:val="00076D04"/>
    <w:rsid w:val="00080914"/>
    <w:rsid w:val="00082568"/>
    <w:rsid w:val="00087B39"/>
    <w:rsid w:val="000939F7"/>
    <w:rsid w:val="00095C05"/>
    <w:rsid w:val="00096502"/>
    <w:rsid w:val="000A00DC"/>
    <w:rsid w:val="000A49BB"/>
    <w:rsid w:val="000B1E9F"/>
    <w:rsid w:val="000B54AA"/>
    <w:rsid w:val="000C0E7D"/>
    <w:rsid w:val="000C3441"/>
    <w:rsid w:val="000C7F53"/>
    <w:rsid w:val="000D0BA0"/>
    <w:rsid w:val="000D2867"/>
    <w:rsid w:val="000D2F8E"/>
    <w:rsid w:val="000D36B5"/>
    <w:rsid w:val="000F196B"/>
    <w:rsid w:val="00105361"/>
    <w:rsid w:val="001101F8"/>
    <w:rsid w:val="00110E58"/>
    <w:rsid w:val="0011206F"/>
    <w:rsid w:val="0011656A"/>
    <w:rsid w:val="00117782"/>
    <w:rsid w:val="0012220C"/>
    <w:rsid w:val="001269D2"/>
    <w:rsid w:val="001319F7"/>
    <w:rsid w:val="0013226D"/>
    <w:rsid w:val="00136EA3"/>
    <w:rsid w:val="00137575"/>
    <w:rsid w:val="001375F8"/>
    <w:rsid w:val="00144231"/>
    <w:rsid w:val="00150434"/>
    <w:rsid w:val="00154DAF"/>
    <w:rsid w:val="00155721"/>
    <w:rsid w:val="0015613D"/>
    <w:rsid w:val="0015678B"/>
    <w:rsid w:val="00157403"/>
    <w:rsid w:val="001626F1"/>
    <w:rsid w:val="00162A07"/>
    <w:rsid w:val="0016503F"/>
    <w:rsid w:val="0016674F"/>
    <w:rsid w:val="001669CE"/>
    <w:rsid w:val="00167CA0"/>
    <w:rsid w:val="00170237"/>
    <w:rsid w:val="0017120D"/>
    <w:rsid w:val="001714F6"/>
    <w:rsid w:val="00171C63"/>
    <w:rsid w:val="00176168"/>
    <w:rsid w:val="00177158"/>
    <w:rsid w:val="001808A5"/>
    <w:rsid w:val="00184FD4"/>
    <w:rsid w:val="00186B04"/>
    <w:rsid w:val="00186F1E"/>
    <w:rsid w:val="00187504"/>
    <w:rsid w:val="00190836"/>
    <w:rsid w:val="001911B1"/>
    <w:rsid w:val="00193930"/>
    <w:rsid w:val="00194B56"/>
    <w:rsid w:val="001963A5"/>
    <w:rsid w:val="00196555"/>
    <w:rsid w:val="00196F1E"/>
    <w:rsid w:val="00197FCA"/>
    <w:rsid w:val="001A245A"/>
    <w:rsid w:val="001A2670"/>
    <w:rsid w:val="001A27DB"/>
    <w:rsid w:val="001A6852"/>
    <w:rsid w:val="001A6E41"/>
    <w:rsid w:val="001B26B2"/>
    <w:rsid w:val="001B286A"/>
    <w:rsid w:val="001B2D02"/>
    <w:rsid w:val="001B3647"/>
    <w:rsid w:val="001B77FA"/>
    <w:rsid w:val="001C0ABE"/>
    <w:rsid w:val="001C12FF"/>
    <w:rsid w:val="001C48DD"/>
    <w:rsid w:val="001C5852"/>
    <w:rsid w:val="001C6FFE"/>
    <w:rsid w:val="001D45F0"/>
    <w:rsid w:val="001D474D"/>
    <w:rsid w:val="001D4C9A"/>
    <w:rsid w:val="001E1CD1"/>
    <w:rsid w:val="001E4A33"/>
    <w:rsid w:val="001E5C27"/>
    <w:rsid w:val="001F0292"/>
    <w:rsid w:val="001F175C"/>
    <w:rsid w:val="001F1FAF"/>
    <w:rsid w:val="001F426E"/>
    <w:rsid w:val="001F602B"/>
    <w:rsid w:val="001F60AA"/>
    <w:rsid w:val="001F63C1"/>
    <w:rsid w:val="001F6AC8"/>
    <w:rsid w:val="00202D56"/>
    <w:rsid w:val="002037D5"/>
    <w:rsid w:val="00206F90"/>
    <w:rsid w:val="00207446"/>
    <w:rsid w:val="00212B03"/>
    <w:rsid w:val="00212BA7"/>
    <w:rsid w:val="002131AE"/>
    <w:rsid w:val="00215C10"/>
    <w:rsid w:val="00215C2D"/>
    <w:rsid w:val="00220B35"/>
    <w:rsid w:val="0022104E"/>
    <w:rsid w:val="00223F7E"/>
    <w:rsid w:val="002252C4"/>
    <w:rsid w:val="002254B2"/>
    <w:rsid w:val="0023183E"/>
    <w:rsid w:val="00235138"/>
    <w:rsid w:val="0024003D"/>
    <w:rsid w:val="00240A75"/>
    <w:rsid w:val="0024124A"/>
    <w:rsid w:val="00241E1E"/>
    <w:rsid w:val="002428C7"/>
    <w:rsid w:val="00242F12"/>
    <w:rsid w:val="00243E36"/>
    <w:rsid w:val="0024540B"/>
    <w:rsid w:val="0024559F"/>
    <w:rsid w:val="00245EF4"/>
    <w:rsid w:val="00247FD2"/>
    <w:rsid w:val="00250E11"/>
    <w:rsid w:val="00251383"/>
    <w:rsid w:val="002522C9"/>
    <w:rsid w:val="00252A21"/>
    <w:rsid w:val="00253E4F"/>
    <w:rsid w:val="002542E4"/>
    <w:rsid w:val="00256F7D"/>
    <w:rsid w:val="00261053"/>
    <w:rsid w:val="00261CBC"/>
    <w:rsid w:val="00262FDE"/>
    <w:rsid w:val="00263629"/>
    <w:rsid w:val="00265B50"/>
    <w:rsid w:val="00270F6C"/>
    <w:rsid w:val="00272698"/>
    <w:rsid w:val="002769BD"/>
    <w:rsid w:val="00276A75"/>
    <w:rsid w:val="00277085"/>
    <w:rsid w:val="002809EA"/>
    <w:rsid w:val="00280A00"/>
    <w:rsid w:val="00282D68"/>
    <w:rsid w:val="00284962"/>
    <w:rsid w:val="00287B0E"/>
    <w:rsid w:val="00294B8F"/>
    <w:rsid w:val="002A0B53"/>
    <w:rsid w:val="002A0EEF"/>
    <w:rsid w:val="002A1167"/>
    <w:rsid w:val="002A76F9"/>
    <w:rsid w:val="002B1800"/>
    <w:rsid w:val="002B1BC9"/>
    <w:rsid w:val="002B2DF7"/>
    <w:rsid w:val="002B32AE"/>
    <w:rsid w:val="002B50C8"/>
    <w:rsid w:val="002C3AEF"/>
    <w:rsid w:val="002C3BF4"/>
    <w:rsid w:val="002C5C5A"/>
    <w:rsid w:val="002C5F1A"/>
    <w:rsid w:val="002C749F"/>
    <w:rsid w:val="002D25CA"/>
    <w:rsid w:val="002D487D"/>
    <w:rsid w:val="002E0AF7"/>
    <w:rsid w:val="002E7B33"/>
    <w:rsid w:val="002F0059"/>
    <w:rsid w:val="002F059B"/>
    <w:rsid w:val="002F35E5"/>
    <w:rsid w:val="002F3DF0"/>
    <w:rsid w:val="002F5456"/>
    <w:rsid w:val="002F5464"/>
    <w:rsid w:val="002F5B0B"/>
    <w:rsid w:val="002F66E6"/>
    <w:rsid w:val="002F778C"/>
    <w:rsid w:val="00300924"/>
    <w:rsid w:val="00302CF0"/>
    <w:rsid w:val="00302E44"/>
    <w:rsid w:val="003053BD"/>
    <w:rsid w:val="0030596E"/>
    <w:rsid w:val="003073C3"/>
    <w:rsid w:val="003102E2"/>
    <w:rsid w:val="00314D70"/>
    <w:rsid w:val="00322706"/>
    <w:rsid w:val="00323637"/>
    <w:rsid w:val="00324E8A"/>
    <w:rsid w:val="00330935"/>
    <w:rsid w:val="00330FB7"/>
    <w:rsid w:val="00331D87"/>
    <w:rsid w:val="00332850"/>
    <w:rsid w:val="00334478"/>
    <w:rsid w:val="003346B4"/>
    <w:rsid w:val="00334AE6"/>
    <w:rsid w:val="003365D0"/>
    <w:rsid w:val="003439AB"/>
    <w:rsid w:val="00343C79"/>
    <w:rsid w:val="00347F6D"/>
    <w:rsid w:val="0035034C"/>
    <w:rsid w:val="00350847"/>
    <w:rsid w:val="003524F7"/>
    <w:rsid w:val="003532CA"/>
    <w:rsid w:val="00354695"/>
    <w:rsid w:val="0035549B"/>
    <w:rsid w:val="003634BE"/>
    <w:rsid w:val="003641F2"/>
    <w:rsid w:val="00370C7C"/>
    <w:rsid w:val="00374E02"/>
    <w:rsid w:val="003755C8"/>
    <w:rsid w:val="00375687"/>
    <w:rsid w:val="00375979"/>
    <w:rsid w:val="00375BE1"/>
    <w:rsid w:val="00380AE0"/>
    <w:rsid w:val="00383324"/>
    <w:rsid w:val="00384FEA"/>
    <w:rsid w:val="00385A15"/>
    <w:rsid w:val="0038767B"/>
    <w:rsid w:val="00387A75"/>
    <w:rsid w:val="003904FD"/>
    <w:rsid w:val="00393B7D"/>
    <w:rsid w:val="003940F6"/>
    <w:rsid w:val="00394254"/>
    <w:rsid w:val="0039749B"/>
    <w:rsid w:val="003A19C2"/>
    <w:rsid w:val="003A3598"/>
    <w:rsid w:val="003A5EE8"/>
    <w:rsid w:val="003B22EB"/>
    <w:rsid w:val="003B3EF4"/>
    <w:rsid w:val="003C12FA"/>
    <w:rsid w:val="003C2BFB"/>
    <w:rsid w:val="003C436B"/>
    <w:rsid w:val="003C5337"/>
    <w:rsid w:val="003C5F92"/>
    <w:rsid w:val="003D14E9"/>
    <w:rsid w:val="003D7A8C"/>
    <w:rsid w:val="003D7C00"/>
    <w:rsid w:val="003E2216"/>
    <w:rsid w:val="003E3256"/>
    <w:rsid w:val="003E56E5"/>
    <w:rsid w:val="003E7E60"/>
    <w:rsid w:val="003F00D4"/>
    <w:rsid w:val="003F2209"/>
    <w:rsid w:val="003F3D39"/>
    <w:rsid w:val="003F6062"/>
    <w:rsid w:val="003F646A"/>
    <w:rsid w:val="003F6761"/>
    <w:rsid w:val="003F6A0A"/>
    <w:rsid w:val="004024F5"/>
    <w:rsid w:val="00402DE1"/>
    <w:rsid w:val="00403D8B"/>
    <w:rsid w:val="00404DB3"/>
    <w:rsid w:val="004058F1"/>
    <w:rsid w:val="00407C20"/>
    <w:rsid w:val="00407E7D"/>
    <w:rsid w:val="00411FF3"/>
    <w:rsid w:val="0041283D"/>
    <w:rsid w:val="00413694"/>
    <w:rsid w:val="00413AB4"/>
    <w:rsid w:val="004140A1"/>
    <w:rsid w:val="004202D7"/>
    <w:rsid w:val="00421373"/>
    <w:rsid w:val="0042191B"/>
    <w:rsid w:val="00421FB7"/>
    <w:rsid w:val="0042763B"/>
    <w:rsid w:val="0043024C"/>
    <w:rsid w:val="00431BF3"/>
    <w:rsid w:val="00432A66"/>
    <w:rsid w:val="00433017"/>
    <w:rsid w:val="00436706"/>
    <w:rsid w:val="00443D38"/>
    <w:rsid w:val="00446BD3"/>
    <w:rsid w:val="00450E7A"/>
    <w:rsid w:val="00453D77"/>
    <w:rsid w:val="00456AF8"/>
    <w:rsid w:val="004664C1"/>
    <w:rsid w:val="00470B15"/>
    <w:rsid w:val="00471FAC"/>
    <w:rsid w:val="00472471"/>
    <w:rsid w:val="00472E1E"/>
    <w:rsid w:val="00474DE4"/>
    <w:rsid w:val="00475869"/>
    <w:rsid w:val="00475A77"/>
    <w:rsid w:val="004859DE"/>
    <w:rsid w:val="004866A9"/>
    <w:rsid w:val="00492774"/>
    <w:rsid w:val="00492D0D"/>
    <w:rsid w:val="004936F2"/>
    <w:rsid w:val="00496D7A"/>
    <w:rsid w:val="004A31BC"/>
    <w:rsid w:val="004A3F1A"/>
    <w:rsid w:val="004A3F45"/>
    <w:rsid w:val="004A5738"/>
    <w:rsid w:val="004B1AFA"/>
    <w:rsid w:val="004B262E"/>
    <w:rsid w:val="004B296B"/>
    <w:rsid w:val="004B5FCE"/>
    <w:rsid w:val="004B7088"/>
    <w:rsid w:val="004C4D12"/>
    <w:rsid w:val="004C5B76"/>
    <w:rsid w:val="004C626D"/>
    <w:rsid w:val="004D0032"/>
    <w:rsid w:val="004D02CD"/>
    <w:rsid w:val="004D0B24"/>
    <w:rsid w:val="004D1C79"/>
    <w:rsid w:val="004D467A"/>
    <w:rsid w:val="004D4B90"/>
    <w:rsid w:val="004D5461"/>
    <w:rsid w:val="004D6B95"/>
    <w:rsid w:val="004D77ED"/>
    <w:rsid w:val="004D7F41"/>
    <w:rsid w:val="004E03A2"/>
    <w:rsid w:val="004E0C12"/>
    <w:rsid w:val="004E1136"/>
    <w:rsid w:val="004E116B"/>
    <w:rsid w:val="004E1ABD"/>
    <w:rsid w:val="004E2F4F"/>
    <w:rsid w:val="004E317E"/>
    <w:rsid w:val="004E3954"/>
    <w:rsid w:val="004E5759"/>
    <w:rsid w:val="004E5856"/>
    <w:rsid w:val="004E6EBF"/>
    <w:rsid w:val="004F2330"/>
    <w:rsid w:val="004F2357"/>
    <w:rsid w:val="004F2F7D"/>
    <w:rsid w:val="004F4B7D"/>
    <w:rsid w:val="004F53C6"/>
    <w:rsid w:val="004F55C6"/>
    <w:rsid w:val="004F69DB"/>
    <w:rsid w:val="004F6B87"/>
    <w:rsid w:val="004F6DF2"/>
    <w:rsid w:val="00501C2D"/>
    <w:rsid w:val="00502528"/>
    <w:rsid w:val="00502637"/>
    <w:rsid w:val="005057DF"/>
    <w:rsid w:val="00511140"/>
    <w:rsid w:val="00513CFE"/>
    <w:rsid w:val="005208D3"/>
    <w:rsid w:val="00520A6F"/>
    <w:rsid w:val="00520C94"/>
    <w:rsid w:val="00521F10"/>
    <w:rsid w:val="00523B6A"/>
    <w:rsid w:val="00523F6A"/>
    <w:rsid w:val="00525F6C"/>
    <w:rsid w:val="0053145F"/>
    <w:rsid w:val="005324A2"/>
    <w:rsid w:val="00532E32"/>
    <w:rsid w:val="005412CA"/>
    <w:rsid w:val="0054292D"/>
    <w:rsid w:val="005432CB"/>
    <w:rsid w:val="00543660"/>
    <w:rsid w:val="005438C3"/>
    <w:rsid w:val="00544428"/>
    <w:rsid w:val="00546AB4"/>
    <w:rsid w:val="005514E5"/>
    <w:rsid w:val="005518B5"/>
    <w:rsid w:val="00551A56"/>
    <w:rsid w:val="00552052"/>
    <w:rsid w:val="00555C8C"/>
    <w:rsid w:val="00555E3B"/>
    <w:rsid w:val="00563C84"/>
    <w:rsid w:val="00566672"/>
    <w:rsid w:val="005762F6"/>
    <w:rsid w:val="00576C32"/>
    <w:rsid w:val="00581290"/>
    <w:rsid w:val="005845E2"/>
    <w:rsid w:val="00584FBE"/>
    <w:rsid w:val="00585483"/>
    <w:rsid w:val="00587378"/>
    <w:rsid w:val="00587C05"/>
    <w:rsid w:val="00590AAB"/>
    <w:rsid w:val="005912C3"/>
    <w:rsid w:val="00593636"/>
    <w:rsid w:val="005938C3"/>
    <w:rsid w:val="0059468C"/>
    <w:rsid w:val="00595125"/>
    <w:rsid w:val="00596F21"/>
    <w:rsid w:val="005A1390"/>
    <w:rsid w:val="005A34C8"/>
    <w:rsid w:val="005A68D6"/>
    <w:rsid w:val="005A7809"/>
    <w:rsid w:val="005B1CDD"/>
    <w:rsid w:val="005B1E19"/>
    <w:rsid w:val="005B2E38"/>
    <w:rsid w:val="005B55FC"/>
    <w:rsid w:val="005C221D"/>
    <w:rsid w:val="005C2D5E"/>
    <w:rsid w:val="005C3B81"/>
    <w:rsid w:val="005C4745"/>
    <w:rsid w:val="005C4F84"/>
    <w:rsid w:val="005C650C"/>
    <w:rsid w:val="005C68FA"/>
    <w:rsid w:val="005D086C"/>
    <w:rsid w:val="005D11D3"/>
    <w:rsid w:val="005D2227"/>
    <w:rsid w:val="005D224C"/>
    <w:rsid w:val="005D4E1F"/>
    <w:rsid w:val="005D4FB3"/>
    <w:rsid w:val="005E0ED3"/>
    <w:rsid w:val="005E2F07"/>
    <w:rsid w:val="005E2FEA"/>
    <w:rsid w:val="005E5353"/>
    <w:rsid w:val="005E642C"/>
    <w:rsid w:val="005F022B"/>
    <w:rsid w:val="005F2452"/>
    <w:rsid w:val="005F314B"/>
    <w:rsid w:val="005F4A66"/>
    <w:rsid w:val="005F5F76"/>
    <w:rsid w:val="0060359F"/>
    <w:rsid w:val="006069E3"/>
    <w:rsid w:val="00606E59"/>
    <w:rsid w:val="006074F0"/>
    <w:rsid w:val="00611AF2"/>
    <w:rsid w:val="0061212B"/>
    <w:rsid w:val="006127AF"/>
    <w:rsid w:val="00613A98"/>
    <w:rsid w:val="00615FB2"/>
    <w:rsid w:val="00617BD1"/>
    <w:rsid w:val="00617CE8"/>
    <w:rsid w:val="00622477"/>
    <w:rsid w:val="00622882"/>
    <w:rsid w:val="00625731"/>
    <w:rsid w:val="00626F4C"/>
    <w:rsid w:val="006278A0"/>
    <w:rsid w:val="0063095F"/>
    <w:rsid w:val="00631B1E"/>
    <w:rsid w:val="00631CBD"/>
    <w:rsid w:val="0063245C"/>
    <w:rsid w:val="00632DB8"/>
    <w:rsid w:val="006336BD"/>
    <w:rsid w:val="00635849"/>
    <w:rsid w:val="0063704F"/>
    <w:rsid w:val="00645DD1"/>
    <w:rsid w:val="00646AC2"/>
    <w:rsid w:val="00650390"/>
    <w:rsid w:val="00650DD7"/>
    <w:rsid w:val="00654DAB"/>
    <w:rsid w:val="00656629"/>
    <w:rsid w:val="006610E1"/>
    <w:rsid w:val="0066204A"/>
    <w:rsid w:val="00662A35"/>
    <w:rsid w:val="006648F7"/>
    <w:rsid w:val="00665995"/>
    <w:rsid w:val="006678C7"/>
    <w:rsid w:val="0067090B"/>
    <w:rsid w:val="00670E3C"/>
    <w:rsid w:val="00677F57"/>
    <w:rsid w:val="00680B0E"/>
    <w:rsid w:val="00681088"/>
    <w:rsid w:val="00687505"/>
    <w:rsid w:val="00687781"/>
    <w:rsid w:val="00690529"/>
    <w:rsid w:val="00691C1C"/>
    <w:rsid w:val="00695296"/>
    <w:rsid w:val="0069577E"/>
    <w:rsid w:val="0069634B"/>
    <w:rsid w:val="00696623"/>
    <w:rsid w:val="00697298"/>
    <w:rsid w:val="006A04E9"/>
    <w:rsid w:val="006A0752"/>
    <w:rsid w:val="006A1A66"/>
    <w:rsid w:val="006A4A03"/>
    <w:rsid w:val="006A7543"/>
    <w:rsid w:val="006B2849"/>
    <w:rsid w:val="006B6564"/>
    <w:rsid w:val="006B725C"/>
    <w:rsid w:val="006C273D"/>
    <w:rsid w:val="006C296F"/>
    <w:rsid w:val="006C5C4F"/>
    <w:rsid w:val="006C6282"/>
    <w:rsid w:val="006C762A"/>
    <w:rsid w:val="006D5FF9"/>
    <w:rsid w:val="006D7BEE"/>
    <w:rsid w:val="006E0772"/>
    <w:rsid w:val="006E0CD0"/>
    <w:rsid w:val="006E0E48"/>
    <w:rsid w:val="006E0EB1"/>
    <w:rsid w:val="006E0F86"/>
    <w:rsid w:val="006E129C"/>
    <w:rsid w:val="006E2D61"/>
    <w:rsid w:val="006E5C01"/>
    <w:rsid w:val="006F0B15"/>
    <w:rsid w:val="006F0DCC"/>
    <w:rsid w:val="006F7DF8"/>
    <w:rsid w:val="0070335A"/>
    <w:rsid w:val="00703DF9"/>
    <w:rsid w:val="007048EB"/>
    <w:rsid w:val="00704FBB"/>
    <w:rsid w:val="00705F4E"/>
    <w:rsid w:val="0070726A"/>
    <w:rsid w:val="0071207C"/>
    <w:rsid w:val="0071226B"/>
    <w:rsid w:val="00717040"/>
    <w:rsid w:val="007229DF"/>
    <w:rsid w:val="00723697"/>
    <w:rsid w:val="007236A3"/>
    <w:rsid w:val="0073653F"/>
    <w:rsid w:val="00736D4C"/>
    <w:rsid w:val="00736DF0"/>
    <w:rsid w:val="00736F72"/>
    <w:rsid w:val="0074082D"/>
    <w:rsid w:val="00740FD5"/>
    <w:rsid w:val="00741887"/>
    <w:rsid w:val="007438D5"/>
    <w:rsid w:val="00746B59"/>
    <w:rsid w:val="00746FCF"/>
    <w:rsid w:val="0075192D"/>
    <w:rsid w:val="00761BF3"/>
    <w:rsid w:val="007622A7"/>
    <w:rsid w:val="00765F7F"/>
    <w:rsid w:val="00774218"/>
    <w:rsid w:val="007750A2"/>
    <w:rsid w:val="00780006"/>
    <w:rsid w:val="00780F33"/>
    <w:rsid w:val="00781615"/>
    <w:rsid w:val="007817D6"/>
    <w:rsid w:val="00781E1C"/>
    <w:rsid w:val="00785EA9"/>
    <w:rsid w:val="00786BB9"/>
    <w:rsid w:val="00787912"/>
    <w:rsid w:val="0079177A"/>
    <w:rsid w:val="0079396B"/>
    <w:rsid w:val="00794836"/>
    <w:rsid w:val="007948D5"/>
    <w:rsid w:val="00795725"/>
    <w:rsid w:val="007A0030"/>
    <w:rsid w:val="007A0117"/>
    <w:rsid w:val="007A15C9"/>
    <w:rsid w:val="007A1ED2"/>
    <w:rsid w:val="007A3A72"/>
    <w:rsid w:val="007A6676"/>
    <w:rsid w:val="007A6C09"/>
    <w:rsid w:val="007B07D1"/>
    <w:rsid w:val="007B155C"/>
    <w:rsid w:val="007B542F"/>
    <w:rsid w:val="007B59FE"/>
    <w:rsid w:val="007B63E3"/>
    <w:rsid w:val="007B7FF5"/>
    <w:rsid w:val="007C2392"/>
    <w:rsid w:val="007C3FC6"/>
    <w:rsid w:val="007C5D8D"/>
    <w:rsid w:val="007C5F0D"/>
    <w:rsid w:val="007C6470"/>
    <w:rsid w:val="007D1881"/>
    <w:rsid w:val="007D2CE9"/>
    <w:rsid w:val="007D4FED"/>
    <w:rsid w:val="007D69DA"/>
    <w:rsid w:val="007D70B1"/>
    <w:rsid w:val="007D7140"/>
    <w:rsid w:val="007E1CDB"/>
    <w:rsid w:val="007E2559"/>
    <w:rsid w:val="007E408C"/>
    <w:rsid w:val="007E50BF"/>
    <w:rsid w:val="007E7E21"/>
    <w:rsid w:val="007F0460"/>
    <w:rsid w:val="007F0DA2"/>
    <w:rsid w:val="007F2B5E"/>
    <w:rsid w:val="007F2C35"/>
    <w:rsid w:val="007F39CE"/>
    <w:rsid w:val="007F42A4"/>
    <w:rsid w:val="007F5E0D"/>
    <w:rsid w:val="00801085"/>
    <w:rsid w:val="008018EC"/>
    <w:rsid w:val="00801A89"/>
    <w:rsid w:val="00804EE5"/>
    <w:rsid w:val="008050DF"/>
    <w:rsid w:val="00810374"/>
    <w:rsid w:val="00812138"/>
    <w:rsid w:val="008151F2"/>
    <w:rsid w:val="00816401"/>
    <w:rsid w:val="0081777A"/>
    <w:rsid w:val="00820413"/>
    <w:rsid w:val="00820B7D"/>
    <w:rsid w:val="008210E0"/>
    <w:rsid w:val="00823837"/>
    <w:rsid w:val="00824079"/>
    <w:rsid w:val="00825D27"/>
    <w:rsid w:val="00830D30"/>
    <w:rsid w:val="00831F0A"/>
    <w:rsid w:val="008322AD"/>
    <w:rsid w:val="00833A78"/>
    <w:rsid w:val="008440BA"/>
    <w:rsid w:val="0084585F"/>
    <w:rsid w:val="00846138"/>
    <w:rsid w:val="008464BE"/>
    <w:rsid w:val="0084768E"/>
    <w:rsid w:val="00850506"/>
    <w:rsid w:val="00853E53"/>
    <w:rsid w:val="0085535C"/>
    <w:rsid w:val="0085574C"/>
    <w:rsid w:val="00861078"/>
    <w:rsid w:val="00861BAC"/>
    <w:rsid w:val="00862E7C"/>
    <w:rsid w:val="00864D76"/>
    <w:rsid w:val="00864DD4"/>
    <w:rsid w:val="00865359"/>
    <w:rsid w:val="008656C9"/>
    <w:rsid w:val="00866595"/>
    <w:rsid w:val="0086711C"/>
    <w:rsid w:val="00867535"/>
    <w:rsid w:val="00875C5B"/>
    <w:rsid w:val="0088261F"/>
    <w:rsid w:val="00883C5F"/>
    <w:rsid w:val="008861E3"/>
    <w:rsid w:val="00891C7D"/>
    <w:rsid w:val="00892FA7"/>
    <w:rsid w:val="00893F88"/>
    <w:rsid w:val="00897E65"/>
    <w:rsid w:val="008A01CF"/>
    <w:rsid w:val="008A32F6"/>
    <w:rsid w:val="008A3301"/>
    <w:rsid w:val="008A4DF1"/>
    <w:rsid w:val="008A5636"/>
    <w:rsid w:val="008A6F73"/>
    <w:rsid w:val="008A72F1"/>
    <w:rsid w:val="008B125E"/>
    <w:rsid w:val="008B1A37"/>
    <w:rsid w:val="008B241C"/>
    <w:rsid w:val="008B408B"/>
    <w:rsid w:val="008B4F11"/>
    <w:rsid w:val="008B64FD"/>
    <w:rsid w:val="008C01DB"/>
    <w:rsid w:val="008C0C2F"/>
    <w:rsid w:val="008C1E69"/>
    <w:rsid w:val="008C2169"/>
    <w:rsid w:val="008C2362"/>
    <w:rsid w:val="008C3049"/>
    <w:rsid w:val="008C49CC"/>
    <w:rsid w:val="008C4F76"/>
    <w:rsid w:val="008C6FC1"/>
    <w:rsid w:val="008D042F"/>
    <w:rsid w:val="008D4AE9"/>
    <w:rsid w:val="008D5CF3"/>
    <w:rsid w:val="008D7D39"/>
    <w:rsid w:val="008E1129"/>
    <w:rsid w:val="008E4574"/>
    <w:rsid w:val="008E7536"/>
    <w:rsid w:val="008F1296"/>
    <w:rsid w:val="008F32A1"/>
    <w:rsid w:val="008F4016"/>
    <w:rsid w:val="008F42FE"/>
    <w:rsid w:val="008F4617"/>
    <w:rsid w:val="008F4A00"/>
    <w:rsid w:val="008F5402"/>
    <w:rsid w:val="008F64CE"/>
    <w:rsid w:val="0090053A"/>
    <w:rsid w:val="00901C2A"/>
    <w:rsid w:val="00902CC4"/>
    <w:rsid w:val="009052C3"/>
    <w:rsid w:val="0090589A"/>
    <w:rsid w:val="00906C84"/>
    <w:rsid w:val="009118C7"/>
    <w:rsid w:val="00917362"/>
    <w:rsid w:val="0091761E"/>
    <w:rsid w:val="009225B6"/>
    <w:rsid w:val="00925397"/>
    <w:rsid w:val="00925D1E"/>
    <w:rsid w:val="00931C2A"/>
    <w:rsid w:val="00932081"/>
    <w:rsid w:val="00933A21"/>
    <w:rsid w:val="00934C10"/>
    <w:rsid w:val="0093662A"/>
    <w:rsid w:val="00936FD7"/>
    <w:rsid w:val="0094060C"/>
    <w:rsid w:val="00942C4B"/>
    <w:rsid w:val="00944196"/>
    <w:rsid w:val="00944E1C"/>
    <w:rsid w:val="00945B22"/>
    <w:rsid w:val="009576F1"/>
    <w:rsid w:val="009606A5"/>
    <w:rsid w:val="009620E0"/>
    <w:rsid w:val="00962F1F"/>
    <w:rsid w:val="009635CF"/>
    <w:rsid w:val="00965304"/>
    <w:rsid w:val="00971293"/>
    <w:rsid w:val="00973A3B"/>
    <w:rsid w:val="00973C28"/>
    <w:rsid w:val="00983EAE"/>
    <w:rsid w:val="009867B0"/>
    <w:rsid w:val="0098760B"/>
    <w:rsid w:val="009938D2"/>
    <w:rsid w:val="009941C0"/>
    <w:rsid w:val="009A055D"/>
    <w:rsid w:val="009A11DD"/>
    <w:rsid w:val="009A12D9"/>
    <w:rsid w:val="009A21E5"/>
    <w:rsid w:val="009A4376"/>
    <w:rsid w:val="009A626D"/>
    <w:rsid w:val="009A7B6F"/>
    <w:rsid w:val="009A7F39"/>
    <w:rsid w:val="009B30AA"/>
    <w:rsid w:val="009B5217"/>
    <w:rsid w:val="009B7658"/>
    <w:rsid w:val="009C4239"/>
    <w:rsid w:val="009C48DE"/>
    <w:rsid w:val="009D4303"/>
    <w:rsid w:val="009D49D1"/>
    <w:rsid w:val="009D60D9"/>
    <w:rsid w:val="009E1CDA"/>
    <w:rsid w:val="009E1E1E"/>
    <w:rsid w:val="009E33E3"/>
    <w:rsid w:val="009E45C7"/>
    <w:rsid w:val="009E4BA5"/>
    <w:rsid w:val="009E5B11"/>
    <w:rsid w:val="009E5E2D"/>
    <w:rsid w:val="009E7F16"/>
    <w:rsid w:val="009F5052"/>
    <w:rsid w:val="00A03083"/>
    <w:rsid w:val="00A045D4"/>
    <w:rsid w:val="00A04C85"/>
    <w:rsid w:val="00A05B55"/>
    <w:rsid w:val="00A061B9"/>
    <w:rsid w:val="00A100F0"/>
    <w:rsid w:val="00A112B4"/>
    <w:rsid w:val="00A156E6"/>
    <w:rsid w:val="00A177C5"/>
    <w:rsid w:val="00A22047"/>
    <w:rsid w:val="00A26325"/>
    <w:rsid w:val="00A27D86"/>
    <w:rsid w:val="00A30A3D"/>
    <w:rsid w:val="00A30AE0"/>
    <w:rsid w:val="00A33151"/>
    <w:rsid w:val="00A36970"/>
    <w:rsid w:val="00A40381"/>
    <w:rsid w:val="00A4054B"/>
    <w:rsid w:val="00A41473"/>
    <w:rsid w:val="00A41EB4"/>
    <w:rsid w:val="00A4274C"/>
    <w:rsid w:val="00A44BFF"/>
    <w:rsid w:val="00A44E6F"/>
    <w:rsid w:val="00A455FE"/>
    <w:rsid w:val="00A45DB8"/>
    <w:rsid w:val="00A460C2"/>
    <w:rsid w:val="00A46172"/>
    <w:rsid w:val="00A4670B"/>
    <w:rsid w:val="00A47831"/>
    <w:rsid w:val="00A501E3"/>
    <w:rsid w:val="00A50B36"/>
    <w:rsid w:val="00A50F0C"/>
    <w:rsid w:val="00A56441"/>
    <w:rsid w:val="00A60CDF"/>
    <w:rsid w:val="00A736DD"/>
    <w:rsid w:val="00A75F75"/>
    <w:rsid w:val="00A82869"/>
    <w:rsid w:val="00A84415"/>
    <w:rsid w:val="00A8758C"/>
    <w:rsid w:val="00AA127E"/>
    <w:rsid w:val="00AA19AE"/>
    <w:rsid w:val="00AA2A89"/>
    <w:rsid w:val="00AA423D"/>
    <w:rsid w:val="00AA6A95"/>
    <w:rsid w:val="00AB10DE"/>
    <w:rsid w:val="00AB3668"/>
    <w:rsid w:val="00AB5ED7"/>
    <w:rsid w:val="00AB7882"/>
    <w:rsid w:val="00AC0B4C"/>
    <w:rsid w:val="00AC478A"/>
    <w:rsid w:val="00AC667C"/>
    <w:rsid w:val="00AD0AEE"/>
    <w:rsid w:val="00AD49E3"/>
    <w:rsid w:val="00AD4B4F"/>
    <w:rsid w:val="00AD5861"/>
    <w:rsid w:val="00AE3AC2"/>
    <w:rsid w:val="00AE409F"/>
    <w:rsid w:val="00AE4B48"/>
    <w:rsid w:val="00AE6090"/>
    <w:rsid w:val="00AE6726"/>
    <w:rsid w:val="00AF0616"/>
    <w:rsid w:val="00AF0E28"/>
    <w:rsid w:val="00AF6F9B"/>
    <w:rsid w:val="00B0094E"/>
    <w:rsid w:val="00B00ADC"/>
    <w:rsid w:val="00B01409"/>
    <w:rsid w:val="00B0177A"/>
    <w:rsid w:val="00B07469"/>
    <w:rsid w:val="00B10DBD"/>
    <w:rsid w:val="00B15629"/>
    <w:rsid w:val="00B2372C"/>
    <w:rsid w:val="00B2625B"/>
    <w:rsid w:val="00B267A0"/>
    <w:rsid w:val="00B304BA"/>
    <w:rsid w:val="00B307AC"/>
    <w:rsid w:val="00B32615"/>
    <w:rsid w:val="00B32F70"/>
    <w:rsid w:val="00B333F6"/>
    <w:rsid w:val="00B33F0E"/>
    <w:rsid w:val="00B34E92"/>
    <w:rsid w:val="00B373D0"/>
    <w:rsid w:val="00B4073C"/>
    <w:rsid w:val="00B4200A"/>
    <w:rsid w:val="00B43837"/>
    <w:rsid w:val="00B43AAA"/>
    <w:rsid w:val="00B53139"/>
    <w:rsid w:val="00B53897"/>
    <w:rsid w:val="00B548E5"/>
    <w:rsid w:val="00B552BF"/>
    <w:rsid w:val="00B55517"/>
    <w:rsid w:val="00B562CE"/>
    <w:rsid w:val="00B60B57"/>
    <w:rsid w:val="00B624A5"/>
    <w:rsid w:val="00B62DE2"/>
    <w:rsid w:val="00B72BC6"/>
    <w:rsid w:val="00B72FE0"/>
    <w:rsid w:val="00B73A83"/>
    <w:rsid w:val="00B74417"/>
    <w:rsid w:val="00B76591"/>
    <w:rsid w:val="00B77246"/>
    <w:rsid w:val="00B777D4"/>
    <w:rsid w:val="00B81931"/>
    <w:rsid w:val="00B819EC"/>
    <w:rsid w:val="00B86045"/>
    <w:rsid w:val="00B866CD"/>
    <w:rsid w:val="00B86D62"/>
    <w:rsid w:val="00B8787E"/>
    <w:rsid w:val="00B904A0"/>
    <w:rsid w:val="00B912A7"/>
    <w:rsid w:val="00B93034"/>
    <w:rsid w:val="00B93A81"/>
    <w:rsid w:val="00B96890"/>
    <w:rsid w:val="00B973FA"/>
    <w:rsid w:val="00B97876"/>
    <w:rsid w:val="00B97C5D"/>
    <w:rsid w:val="00B97FC9"/>
    <w:rsid w:val="00BA1290"/>
    <w:rsid w:val="00BA1A9E"/>
    <w:rsid w:val="00BA38FF"/>
    <w:rsid w:val="00BA7620"/>
    <w:rsid w:val="00BB1D4F"/>
    <w:rsid w:val="00BB22CE"/>
    <w:rsid w:val="00BB22FD"/>
    <w:rsid w:val="00BB2792"/>
    <w:rsid w:val="00BB4D8D"/>
    <w:rsid w:val="00BB76BF"/>
    <w:rsid w:val="00BB7D83"/>
    <w:rsid w:val="00BC0349"/>
    <w:rsid w:val="00BC1AD1"/>
    <w:rsid w:val="00BC2AA9"/>
    <w:rsid w:val="00BC478C"/>
    <w:rsid w:val="00BC4A58"/>
    <w:rsid w:val="00BC613B"/>
    <w:rsid w:val="00BD51D9"/>
    <w:rsid w:val="00BD64E2"/>
    <w:rsid w:val="00BD7A76"/>
    <w:rsid w:val="00BE0B50"/>
    <w:rsid w:val="00BE18E1"/>
    <w:rsid w:val="00BE4995"/>
    <w:rsid w:val="00BE6D9E"/>
    <w:rsid w:val="00BF093C"/>
    <w:rsid w:val="00BF2426"/>
    <w:rsid w:val="00BF2B86"/>
    <w:rsid w:val="00BF429A"/>
    <w:rsid w:val="00BF62BE"/>
    <w:rsid w:val="00C017CB"/>
    <w:rsid w:val="00C047D0"/>
    <w:rsid w:val="00C07126"/>
    <w:rsid w:val="00C109AA"/>
    <w:rsid w:val="00C121D0"/>
    <w:rsid w:val="00C15B40"/>
    <w:rsid w:val="00C16853"/>
    <w:rsid w:val="00C179A0"/>
    <w:rsid w:val="00C17CC6"/>
    <w:rsid w:val="00C203D6"/>
    <w:rsid w:val="00C23AB2"/>
    <w:rsid w:val="00C263F0"/>
    <w:rsid w:val="00C31D11"/>
    <w:rsid w:val="00C33D41"/>
    <w:rsid w:val="00C37A85"/>
    <w:rsid w:val="00C40AFD"/>
    <w:rsid w:val="00C41E20"/>
    <w:rsid w:val="00C42E3E"/>
    <w:rsid w:val="00C4324F"/>
    <w:rsid w:val="00C51C13"/>
    <w:rsid w:val="00C525A5"/>
    <w:rsid w:val="00C5300F"/>
    <w:rsid w:val="00C54594"/>
    <w:rsid w:val="00C55A1C"/>
    <w:rsid w:val="00C61892"/>
    <w:rsid w:val="00C62A3D"/>
    <w:rsid w:val="00C66CE0"/>
    <w:rsid w:val="00C700A5"/>
    <w:rsid w:val="00C709AE"/>
    <w:rsid w:val="00C70CCB"/>
    <w:rsid w:val="00C715C4"/>
    <w:rsid w:val="00C71BED"/>
    <w:rsid w:val="00C732D3"/>
    <w:rsid w:val="00C733DF"/>
    <w:rsid w:val="00C737B2"/>
    <w:rsid w:val="00C76AD5"/>
    <w:rsid w:val="00C812AE"/>
    <w:rsid w:val="00C81B53"/>
    <w:rsid w:val="00C82AD2"/>
    <w:rsid w:val="00C90FB6"/>
    <w:rsid w:val="00C9220E"/>
    <w:rsid w:val="00C932BD"/>
    <w:rsid w:val="00C93429"/>
    <w:rsid w:val="00C95563"/>
    <w:rsid w:val="00CA1226"/>
    <w:rsid w:val="00CA16C5"/>
    <w:rsid w:val="00CA372A"/>
    <w:rsid w:val="00CA415A"/>
    <w:rsid w:val="00CA7A35"/>
    <w:rsid w:val="00CB0A7A"/>
    <w:rsid w:val="00CB0CFE"/>
    <w:rsid w:val="00CB1536"/>
    <w:rsid w:val="00CB2022"/>
    <w:rsid w:val="00CB3063"/>
    <w:rsid w:val="00CB7018"/>
    <w:rsid w:val="00CB7FB8"/>
    <w:rsid w:val="00CC1F71"/>
    <w:rsid w:val="00CC2802"/>
    <w:rsid w:val="00CC5588"/>
    <w:rsid w:val="00CC5EB3"/>
    <w:rsid w:val="00CC6A64"/>
    <w:rsid w:val="00CC7D2F"/>
    <w:rsid w:val="00CD06C9"/>
    <w:rsid w:val="00CD0E7B"/>
    <w:rsid w:val="00CD2275"/>
    <w:rsid w:val="00CD2ABD"/>
    <w:rsid w:val="00CD4024"/>
    <w:rsid w:val="00CD4617"/>
    <w:rsid w:val="00CD4855"/>
    <w:rsid w:val="00CE6D43"/>
    <w:rsid w:val="00CE737A"/>
    <w:rsid w:val="00CE7888"/>
    <w:rsid w:val="00CE794C"/>
    <w:rsid w:val="00CE7B62"/>
    <w:rsid w:val="00CF1F82"/>
    <w:rsid w:val="00CF297F"/>
    <w:rsid w:val="00CF3AE4"/>
    <w:rsid w:val="00D024FF"/>
    <w:rsid w:val="00D06138"/>
    <w:rsid w:val="00D10E1C"/>
    <w:rsid w:val="00D14221"/>
    <w:rsid w:val="00D14A9E"/>
    <w:rsid w:val="00D15F59"/>
    <w:rsid w:val="00D161A3"/>
    <w:rsid w:val="00D22E49"/>
    <w:rsid w:val="00D23716"/>
    <w:rsid w:val="00D249BA"/>
    <w:rsid w:val="00D25ED8"/>
    <w:rsid w:val="00D2664A"/>
    <w:rsid w:val="00D27E3E"/>
    <w:rsid w:val="00D27F8F"/>
    <w:rsid w:val="00D316B8"/>
    <w:rsid w:val="00D31CFC"/>
    <w:rsid w:val="00D3255D"/>
    <w:rsid w:val="00D333D2"/>
    <w:rsid w:val="00D340C3"/>
    <w:rsid w:val="00D409CD"/>
    <w:rsid w:val="00D41CF3"/>
    <w:rsid w:val="00D423D4"/>
    <w:rsid w:val="00D42CAF"/>
    <w:rsid w:val="00D46213"/>
    <w:rsid w:val="00D46C3B"/>
    <w:rsid w:val="00D5310F"/>
    <w:rsid w:val="00D601EF"/>
    <w:rsid w:val="00D61533"/>
    <w:rsid w:val="00D63B2F"/>
    <w:rsid w:val="00D70747"/>
    <w:rsid w:val="00D7261D"/>
    <w:rsid w:val="00D755FC"/>
    <w:rsid w:val="00D75AAF"/>
    <w:rsid w:val="00D76B6D"/>
    <w:rsid w:val="00D77A23"/>
    <w:rsid w:val="00D837AD"/>
    <w:rsid w:val="00D83B52"/>
    <w:rsid w:val="00D84D07"/>
    <w:rsid w:val="00D84D0E"/>
    <w:rsid w:val="00D8526A"/>
    <w:rsid w:val="00D866AE"/>
    <w:rsid w:val="00D86AA2"/>
    <w:rsid w:val="00D86AC7"/>
    <w:rsid w:val="00D86E68"/>
    <w:rsid w:val="00D90E91"/>
    <w:rsid w:val="00D91F08"/>
    <w:rsid w:val="00D97EF7"/>
    <w:rsid w:val="00DA16F2"/>
    <w:rsid w:val="00DA4931"/>
    <w:rsid w:val="00DA749A"/>
    <w:rsid w:val="00DB459B"/>
    <w:rsid w:val="00DB60E1"/>
    <w:rsid w:val="00DC1347"/>
    <w:rsid w:val="00DC39F1"/>
    <w:rsid w:val="00DD15CD"/>
    <w:rsid w:val="00DD68EA"/>
    <w:rsid w:val="00DD6B23"/>
    <w:rsid w:val="00DD7A26"/>
    <w:rsid w:val="00DD7CCB"/>
    <w:rsid w:val="00DE25E6"/>
    <w:rsid w:val="00DE3436"/>
    <w:rsid w:val="00DE39C5"/>
    <w:rsid w:val="00DE43EF"/>
    <w:rsid w:val="00DE4B35"/>
    <w:rsid w:val="00DE4BCE"/>
    <w:rsid w:val="00DE6E2A"/>
    <w:rsid w:val="00DF19C1"/>
    <w:rsid w:val="00DF21BE"/>
    <w:rsid w:val="00DF54CA"/>
    <w:rsid w:val="00DF56C9"/>
    <w:rsid w:val="00DF5B64"/>
    <w:rsid w:val="00DF6627"/>
    <w:rsid w:val="00E010B0"/>
    <w:rsid w:val="00E02633"/>
    <w:rsid w:val="00E02794"/>
    <w:rsid w:val="00E02E6F"/>
    <w:rsid w:val="00E043E3"/>
    <w:rsid w:val="00E047C4"/>
    <w:rsid w:val="00E0505B"/>
    <w:rsid w:val="00E11280"/>
    <w:rsid w:val="00E12359"/>
    <w:rsid w:val="00E152FF"/>
    <w:rsid w:val="00E15412"/>
    <w:rsid w:val="00E20565"/>
    <w:rsid w:val="00E2114D"/>
    <w:rsid w:val="00E232AE"/>
    <w:rsid w:val="00E2461B"/>
    <w:rsid w:val="00E24886"/>
    <w:rsid w:val="00E257C7"/>
    <w:rsid w:val="00E276FB"/>
    <w:rsid w:val="00E30F96"/>
    <w:rsid w:val="00E32595"/>
    <w:rsid w:val="00E32DC6"/>
    <w:rsid w:val="00E33A74"/>
    <w:rsid w:val="00E4030B"/>
    <w:rsid w:val="00E4066C"/>
    <w:rsid w:val="00E41D56"/>
    <w:rsid w:val="00E44D10"/>
    <w:rsid w:val="00E457DF"/>
    <w:rsid w:val="00E45D87"/>
    <w:rsid w:val="00E46642"/>
    <w:rsid w:val="00E50C2E"/>
    <w:rsid w:val="00E50FCE"/>
    <w:rsid w:val="00E5139A"/>
    <w:rsid w:val="00E52337"/>
    <w:rsid w:val="00E5413D"/>
    <w:rsid w:val="00E54973"/>
    <w:rsid w:val="00E56DB0"/>
    <w:rsid w:val="00E56E93"/>
    <w:rsid w:val="00E57977"/>
    <w:rsid w:val="00E63544"/>
    <w:rsid w:val="00E635D7"/>
    <w:rsid w:val="00E70576"/>
    <w:rsid w:val="00E71DED"/>
    <w:rsid w:val="00E75B23"/>
    <w:rsid w:val="00E76BEF"/>
    <w:rsid w:val="00E7754B"/>
    <w:rsid w:val="00E81F20"/>
    <w:rsid w:val="00E83954"/>
    <w:rsid w:val="00E86506"/>
    <w:rsid w:val="00E91730"/>
    <w:rsid w:val="00E96F04"/>
    <w:rsid w:val="00E97AEC"/>
    <w:rsid w:val="00EA065D"/>
    <w:rsid w:val="00EA16B8"/>
    <w:rsid w:val="00EA20FE"/>
    <w:rsid w:val="00EB12C6"/>
    <w:rsid w:val="00EB491E"/>
    <w:rsid w:val="00EB681B"/>
    <w:rsid w:val="00EB7871"/>
    <w:rsid w:val="00EB7DD2"/>
    <w:rsid w:val="00EC02B1"/>
    <w:rsid w:val="00EC0457"/>
    <w:rsid w:val="00EC13E4"/>
    <w:rsid w:val="00EC4FAD"/>
    <w:rsid w:val="00ED742D"/>
    <w:rsid w:val="00EE02E5"/>
    <w:rsid w:val="00EE212F"/>
    <w:rsid w:val="00EE3CFA"/>
    <w:rsid w:val="00EE69E4"/>
    <w:rsid w:val="00EE6EAA"/>
    <w:rsid w:val="00EF2A7F"/>
    <w:rsid w:val="00EF54C0"/>
    <w:rsid w:val="00EF5B74"/>
    <w:rsid w:val="00EF753B"/>
    <w:rsid w:val="00EF7744"/>
    <w:rsid w:val="00EF7E90"/>
    <w:rsid w:val="00F002B6"/>
    <w:rsid w:val="00F03282"/>
    <w:rsid w:val="00F033E2"/>
    <w:rsid w:val="00F04DCB"/>
    <w:rsid w:val="00F0588D"/>
    <w:rsid w:val="00F06736"/>
    <w:rsid w:val="00F0687A"/>
    <w:rsid w:val="00F10AFE"/>
    <w:rsid w:val="00F1568D"/>
    <w:rsid w:val="00F15C6C"/>
    <w:rsid w:val="00F17173"/>
    <w:rsid w:val="00F20987"/>
    <w:rsid w:val="00F224DC"/>
    <w:rsid w:val="00F224F7"/>
    <w:rsid w:val="00F242F3"/>
    <w:rsid w:val="00F2687F"/>
    <w:rsid w:val="00F26A5E"/>
    <w:rsid w:val="00F27F29"/>
    <w:rsid w:val="00F32A53"/>
    <w:rsid w:val="00F32B95"/>
    <w:rsid w:val="00F32D54"/>
    <w:rsid w:val="00F34032"/>
    <w:rsid w:val="00F35AA7"/>
    <w:rsid w:val="00F3610D"/>
    <w:rsid w:val="00F36940"/>
    <w:rsid w:val="00F36C54"/>
    <w:rsid w:val="00F418EA"/>
    <w:rsid w:val="00F41A29"/>
    <w:rsid w:val="00F44360"/>
    <w:rsid w:val="00F44C1C"/>
    <w:rsid w:val="00F508A9"/>
    <w:rsid w:val="00F518DF"/>
    <w:rsid w:val="00F544DB"/>
    <w:rsid w:val="00F55D87"/>
    <w:rsid w:val="00F57DB8"/>
    <w:rsid w:val="00F60903"/>
    <w:rsid w:val="00F6292F"/>
    <w:rsid w:val="00F63383"/>
    <w:rsid w:val="00F635F4"/>
    <w:rsid w:val="00F648EA"/>
    <w:rsid w:val="00F6502E"/>
    <w:rsid w:val="00F65663"/>
    <w:rsid w:val="00F67180"/>
    <w:rsid w:val="00F73E31"/>
    <w:rsid w:val="00F75147"/>
    <w:rsid w:val="00F756C0"/>
    <w:rsid w:val="00F75A40"/>
    <w:rsid w:val="00F75CFA"/>
    <w:rsid w:val="00F764E8"/>
    <w:rsid w:val="00F77637"/>
    <w:rsid w:val="00F8435D"/>
    <w:rsid w:val="00F862E5"/>
    <w:rsid w:val="00F87DD0"/>
    <w:rsid w:val="00F93360"/>
    <w:rsid w:val="00F93FE4"/>
    <w:rsid w:val="00F95E66"/>
    <w:rsid w:val="00F97706"/>
    <w:rsid w:val="00F9794E"/>
    <w:rsid w:val="00F97E4E"/>
    <w:rsid w:val="00FA12A9"/>
    <w:rsid w:val="00FA1A40"/>
    <w:rsid w:val="00FA217B"/>
    <w:rsid w:val="00FA28EA"/>
    <w:rsid w:val="00FA2DFC"/>
    <w:rsid w:val="00FA3285"/>
    <w:rsid w:val="00FB0BC5"/>
    <w:rsid w:val="00FB0BCC"/>
    <w:rsid w:val="00FB44ED"/>
    <w:rsid w:val="00FB4757"/>
    <w:rsid w:val="00FC0FE5"/>
    <w:rsid w:val="00FC3926"/>
    <w:rsid w:val="00FC796C"/>
    <w:rsid w:val="00FD1ABC"/>
    <w:rsid w:val="00FD29B8"/>
    <w:rsid w:val="00FD3DB1"/>
    <w:rsid w:val="00FD4C64"/>
    <w:rsid w:val="00FD564E"/>
    <w:rsid w:val="00FD7DDF"/>
    <w:rsid w:val="00FE0541"/>
    <w:rsid w:val="00FE18E3"/>
    <w:rsid w:val="00FE3C7D"/>
    <w:rsid w:val="00FE3C7E"/>
    <w:rsid w:val="00FE4538"/>
    <w:rsid w:val="00FE4C92"/>
    <w:rsid w:val="00FE64FC"/>
    <w:rsid w:val="00FE6855"/>
    <w:rsid w:val="00FF0FAA"/>
    <w:rsid w:val="00FF2B2A"/>
    <w:rsid w:val="00FF2F62"/>
    <w:rsid w:val="00FF3759"/>
    <w:rsid w:val="00FF380E"/>
    <w:rsid w:val="00FF4396"/>
    <w:rsid w:val="00FF61B7"/>
    <w:rsid w:val="00FF7B15"/>
    <w:rsid w:val="00FF7E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0BF"/>
    <w:pPr>
      <w:spacing w:line="288" w:lineRule="auto"/>
      <w:jc w:val="both"/>
    </w:pPr>
    <w:rPr>
      <w:lang w:eastAsia="en-US" w:bidi="ar-SA"/>
    </w:rPr>
  </w:style>
  <w:style w:type="paragraph" w:styleId="Heading1">
    <w:name w:val="heading 1"/>
    <w:basedOn w:val="Normal"/>
    <w:next w:val="Normal"/>
    <w:link w:val="Heading1Char"/>
    <w:qFormat/>
    <w:rsid w:val="007E50BF"/>
    <w:pPr>
      <w:numPr>
        <w:numId w:val="1"/>
      </w:numPr>
      <w:outlineLvl w:val="0"/>
    </w:pPr>
    <w:rPr>
      <w:kern w:val="28"/>
    </w:rPr>
  </w:style>
  <w:style w:type="paragraph" w:styleId="Heading2">
    <w:name w:val="heading 2"/>
    <w:basedOn w:val="Normal"/>
    <w:next w:val="Normal"/>
    <w:link w:val="Heading2Char"/>
    <w:qFormat/>
    <w:rsid w:val="007E50BF"/>
    <w:pPr>
      <w:numPr>
        <w:ilvl w:val="1"/>
        <w:numId w:val="1"/>
      </w:numPr>
      <w:outlineLvl w:val="1"/>
    </w:pPr>
  </w:style>
  <w:style w:type="paragraph" w:styleId="Heading3">
    <w:name w:val="heading 3"/>
    <w:basedOn w:val="Normal"/>
    <w:next w:val="Normal"/>
    <w:link w:val="Heading3Char"/>
    <w:qFormat/>
    <w:rsid w:val="007E50BF"/>
    <w:pPr>
      <w:numPr>
        <w:ilvl w:val="2"/>
        <w:numId w:val="1"/>
      </w:numPr>
      <w:outlineLvl w:val="2"/>
    </w:pPr>
  </w:style>
  <w:style w:type="paragraph" w:styleId="Heading4">
    <w:name w:val="heading 4"/>
    <w:basedOn w:val="Normal"/>
    <w:next w:val="Normal"/>
    <w:link w:val="Heading4Char"/>
    <w:qFormat/>
    <w:rsid w:val="007E50BF"/>
    <w:pPr>
      <w:numPr>
        <w:ilvl w:val="3"/>
        <w:numId w:val="1"/>
      </w:numPr>
      <w:outlineLvl w:val="3"/>
    </w:pPr>
  </w:style>
  <w:style w:type="paragraph" w:styleId="Heading5">
    <w:name w:val="heading 5"/>
    <w:basedOn w:val="Normal"/>
    <w:next w:val="Normal"/>
    <w:link w:val="Heading5Char"/>
    <w:qFormat/>
    <w:rsid w:val="007E50BF"/>
    <w:pPr>
      <w:numPr>
        <w:ilvl w:val="4"/>
        <w:numId w:val="1"/>
      </w:numPr>
      <w:outlineLvl w:val="4"/>
    </w:pPr>
  </w:style>
  <w:style w:type="paragraph" w:styleId="Heading6">
    <w:name w:val="heading 6"/>
    <w:basedOn w:val="Normal"/>
    <w:next w:val="Normal"/>
    <w:link w:val="Heading6Char"/>
    <w:qFormat/>
    <w:rsid w:val="007E50BF"/>
    <w:pPr>
      <w:numPr>
        <w:ilvl w:val="5"/>
        <w:numId w:val="1"/>
      </w:numPr>
      <w:outlineLvl w:val="5"/>
    </w:pPr>
  </w:style>
  <w:style w:type="paragraph" w:styleId="Heading7">
    <w:name w:val="heading 7"/>
    <w:basedOn w:val="Normal"/>
    <w:next w:val="Normal"/>
    <w:link w:val="Heading7Char"/>
    <w:qFormat/>
    <w:rsid w:val="007E50BF"/>
    <w:pPr>
      <w:numPr>
        <w:ilvl w:val="6"/>
        <w:numId w:val="1"/>
      </w:numPr>
      <w:outlineLvl w:val="6"/>
    </w:pPr>
  </w:style>
  <w:style w:type="paragraph" w:styleId="Heading8">
    <w:name w:val="heading 8"/>
    <w:basedOn w:val="Normal"/>
    <w:next w:val="Normal"/>
    <w:link w:val="Heading8Char"/>
    <w:qFormat/>
    <w:rsid w:val="007E50BF"/>
    <w:pPr>
      <w:numPr>
        <w:ilvl w:val="7"/>
        <w:numId w:val="1"/>
      </w:numPr>
      <w:outlineLvl w:val="7"/>
    </w:pPr>
  </w:style>
  <w:style w:type="paragraph" w:styleId="Heading9">
    <w:name w:val="heading 9"/>
    <w:basedOn w:val="Normal"/>
    <w:next w:val="Normal"/>
    <w:link w:val="Heading9Char"/>
    <w:qFormat/>
    <w:rsid w:val="007E50BF"/>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7E50BF"/>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uiPriority w:val="99"/>
    <w:qFormat/>
    <w:rsid w:val="007E50BF"/>
    <w:pPr>
      <w:keepLines/>
      <w:spacing w:after="60" w:line="240" w:lineRule="auto"/>
      <w:ind w:left="567" w:hanging="567"/>
    </w:pPr>
    <w:rPr>
      <w:sz w:val="16"/>
    </w:rPr>
  </w:style>
  <w:style w:type="character" w:customStyle="1" w:styleId="FootnoteTextChar">
    <w:name w:val="Footnote Text Char"/>
    <w:basedOn w:val="DefaultParagraphFont"/>
    <w:link w:val="FootnoteText"/>
    <w:uiPriority w:val="99"/>
    <w:locked/>
    <w:rsid w:val="00CB1536"/>
    <w:rPr>
      <w:sz w:val="16"/>
      <w:lang w:val="en-US" w:eastAsia="en-US" w:bidi="ar-SA"/>
    </w:rPr>
  </w:style>
  <w:style w:type="paragraph" w:styleId="Header">
    <w:name w:val="header"/>
    <w:basedOn w:val="Normal"/>
    <w:link w:val="HeaderChar"/>
    <w:qFormat/>
    <w:rsid w:val="007E50BF"/>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iPriority w:val="99"/>
    <w:unhideWhenUsed/>
    <w:qFormat/>
    <w:rsid w:val="007E50BF"/>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7E5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0BF"/>
    <w:rPr>
      <w:rFonts w:ascii="Tahoma" w:hAnsi="Tahoma" w:cs="Tahoma"/>
      <w:sz w:val="16"/>
      <w:szCs w:val="16"/>
      <w:lang w:val="en-US" w:eastAsia="en-US" w:bidi="ar-SA"/>
    </w:rPr>
  </w:style>
  <w:style w:type="paragraph" w:customStyle="1" w:styleId="quotes">
    <w:name w:val="quotes"/>
    <w:basedOn w:val="Normal"/>
    <w:next w:val="Normal"/>
    <w:rsid w:val="007E50BF"/>
    <w:pPr>
      <w:ind w:left="720"/>
    </w:pPr>
    <w:rPr>
      <w:i/>
    </w:rPr>
  </w:style>
  <w:style w:type="character" w:customStyle="1" w:styleId="Mencinsinresolver1">
    <w:name w:val="Mención sin resolver1"/>
    <w:basedOn w:val="DefaultParagraphFont"/>
    <w:uiPriority w:val="99"/>
    <w:semiHidden/>
    <w:unhideWhenUsed/>
    <w:rsid w:val="00B333F6"/>
    <w:rPr>
      <w:color w:val="808080"/>
      <w:shd w:val="clear" w:color="auto" w:fill="E6E6E6"/>
    </w:rPr>
  </w:style>
  <w:style w:type="character" w:styleId="CommentReference">
    <w:name w:val="annotation reference"/>
    <w:basedOn w:val="DefaultParagraphFont"/>
    <w:semiHidden/>
    <w:unhideWhenUsed/>
    <w:rsid w:val="006C296F"/>
    <w:rPr>
      <w:sz w:val="16"/>
      <w:szCs w:val="16"/>
    </w:rPr>
  </w:style>
  <w:style w:type="paragraph" w:styleId="CommentText">
    <w:name w:val="annotation text"/>
    <w:basedOn w:val="Normal"/>
    <w:link w:val="CommentTextChar"/>
    <w:semiHidden/>
    <w:unhideWhenUsed/>
    <w:rsid w:val="006C296F"/>
    <w:pPr>
      <w:spacing w:line="240" w:lineRule="auto"/>
    </w:pPr>
    <w:rPr>
      <w:sz w:val="20"/>
      <w:szCs w:val="20"/>
    </w:rPr>
  </w:style>
  <w:style w:type="character" w:customStyle="1" w:styleId="CommentTextChar">
    <w:name w:val="Comment Text Char"/>
    <w:basedOn w:val="DefaultParagraphFont"/>
    <w:link w:val="CommentText"/>
    <w:semiHidden/>
    <w:rsid w:val="006C296F"/>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6C296F"/>
    <w:rPr>
      <w:b/>
      <w:bCs/>
    </w:rPr>
  </w:style>
  <w:style w:type="character" w:customStyle="1" w:styleId="CommentSubjectChar">
    <w:name w:val="Comment Subject Char"/>
    <w:basedOn w:val="CommentTextChar"/>
    <w:link w:val="CommentSubject"/>
    <w:uiPriority w:val="99"/>
    <w:semiHidden/>
    <w:rsid w:val="006C296F"/>
    <w:rPr>
      <w:b/>
      <w:bCs/>
      <w:sz w:val="20"/>
      <w:szCs w:val="2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0BF"/>
    <w:pPr>
      <w:spacing w:line="288" w:lineRule="auto"/>
      <w:jc w:val="both"/>
    </w:pPr>
    <w:rPr>
      <w:lang w:eastAsia="en-US" w:bidi="ar-SA"/>
    </w:rPr>
  </w:style>
  <w:style w:type="paragraph" w:styleId="Heading1">
    <w:name w:val="heading 1"/>
    <w:basedOn w:val="Normal"/>
    <w:next w:val="Normal"/>
    <w:link w:val="Heading1Char"/>
    <w:qFormat/>
    <w:rsid w:val="007E50BF"/>
    <w:pPr>
      <w:numPr>
        <w:numId w:val="1"/>
      </w:numPr>
      <w:outlineLvl w:val="0"/>
    </w:pPr>
    <w:rPr>
      <w:kern w:val="28"/>
    </w:rPr>
  </w:style>
  <w:style w:type="paragraph" w:styleId="Heading2">
    <w:name w:val="heading 2"/>
    <w:basedOn w:val="Normal"/>
    <w:next w:val="Normal"/>
    <w:link w:val="Heading2Char"/>
    <w:qFormat/>
    <w:rsid w:val="007E50BF"/>
    <w:pPr>
      <w:numPr>
        <w:ilvl w:val="1"/>
        <w:numId w:val="1"/>
      </w:numPr>
      <w:outlineLvl w:val="1"/>
    </w:pPr>
  </w:style>
  <w:style w:type="paragraph" w:styleId="Heading3">
    <w:name w:val="heading 3"/>
    <w:basedOn w:val="Normal"/>
    <w:next w:val="Normal"/>
    <w:link w:val="Heading3Char"/>
    <w:qFormat/>
    <w:rsid w:val="007E50BF"/>
    <w:pPr>
      <w:numPr>
        <w:ilvl w:val="2"/>
        <w:numId w:val="1"/>
      </w:numPr>
      <w:outlineLvl w:val="2"/>
    </w:pPr>
  </w:style>
  <w:style w:type="paragraph" w:styleId="Heading4">
    <w:name w:val="heading 4"/>
    <w:basedOn w:val="Normal"/>
    <w:next w:val="Normal"/>
    <w:link w:val="Heading4Char"/>
    <w:qFormat/>
    <w:rsid w:val="007E50BF"/>
    <w:pPr>
      <w:numPr>
        <w:ilvl w:val="3"/>
        <w:numId w:val="1"/>
      </w:numPr>
      <w:outlineLvl w:val="3"/>
    </w:pPr>
  </w:style>
  <w:style w:type="paragraph" w:styleId="Heading5">
    <w:name w:val="heading 5"/>
    <w:basedOn w:val="Normal"/>
    <w:next w:val="Normal"/>
    <w:link w:val="Heading5Char"/>
    <w:qFormat/>
    <w:rsid w:val="007E50BF"/>
    <w:pPr>
      <w:numPr>
        <w:ilvl w:val="4"/>
        <w:numId w:val="1"/>
      </w:numPr>
      <w:outlineLvl w:val="4"/>
    </w:pPr>
  </w:style>
  <w:style w:type="paragraph" w:styleId="Heading6">
    <w:name w:val="heading 6"/>
    <w:basedOn w:val="Normal"/>
    <w:next w:val="Normal"/>
    <w:link w:val="Heading6Char"/>
    <w:qFormat/>
    <w:rsid w:val="007E50BF"/>
    <w:pPr>
      <w:numPr>
        <w:ilvl w:val="5"/>
        <w:numId w:val="1"/>
      </w:numPr>
      <w:outlineLvl w:val="5"/>
    </w:pPr>
  </w:style>
  <w:style w:type="paragraph" w:styleId="Heading7">
    <w:name w:val="heading 7"/>
    <w:basedOn w:val="Normal"/>
    <w:next w:val="Normal"/>
    <w:link w:val="Heading7Char"/>
    <w:qFormat/>
    <w:rsid w:val="007E50BF"/>
    <w:pPr>
      <w:numPr>
        <w:ilvl w:val="6"/>
        <w:numId w:val="1"/>
      </w:numPr>
      <w:outlineLvl w:val="6"/>
    </w:pPr>
  </w:style>
  <w:style w:type="paragraph" w:styleId="Heading8">
    <w:name w:val="heading 8"/>
    <w:basedOn w:val="Normal"/>
    <w:next w:val="Normal"/>
    <w:link w:val="Heading8Char"/>
    <w:qFormat/>
    <w:rsid w:val="007E50BF"/>
    <w:pPr>
      <w:numPr>
        <w:ilvl w:val="7"/>
        <w:numId w:val="1"/>
      </w:numPr>
      <w:outlineLvl w:val="7"/>
    </w:pPr>
  </w:style>
  <w:style w:type="paragraph" w:styleId="Heading9">
    <w:name w:val="heading 9"/>
    <w:basedOn w:val="Normal"/>
    <w:next w:val="Normal"/>
    <w:link w:val="Heading9Char"/>
    <w:qFormat/>
    <w:rsid w:val="007E50BF"/>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7E50BF"/>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uiPriority w:val="99"/>
    <w:qFormat/>
    <w:rsid w:val="007E50BF"/>
    <w:pPr>
      <w:keepLines/>
      <w:spacing w:after="60" w:line="240" w:lineRule="auto"/>
      <w:ind w:left="567" w:hanging="567"/>
    </w:pPr>
    <w:rPr>
      <w:sz w:val="16"/>
    </w:rPr>
  </w:style>
  <w:style w:type="character" w:customStyle="1" w:styleId="FootnoteTextChar">
    <w:name w:val="Footnote Text Char"/>
    <w:basedOn w:val="DefaultParagraphFont"/>
    <w:link w:val="FootnoteText"/>
    <w:uiPriority w:val="99"/>
    <w:locked/>
    <w:rsid w:val="00CB1536"/>
    <w:rPr>
      <w:sz w:val="16"/>
      <w:lang w:val="en-US" w:eastAsia="en-US" w:bidi="ar-SA"/>
    </w:rPr>
  </w:style>
  <w:style w:type="paragraph" w:styleId="Header">
    <w:name w:val="header"/>
    <w:basedOn w:val="Normal"/>
    <w:link w:val="HeaderChar"/>
    <w:qFormat/>
    <w:rsid w:val="007E50BF"/>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iPriority w:val="99"/>
    <w:unhideWhenUsed/>
    <w:qFormat/>
    <w:rsid w:val="007E50BF"/>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7E5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0BF"/>
    <w:rPr>
      <w:rFonts w:ascii="Tahoma" w:hAnsi="Tahoma" w:cs="Tahoma"/>
      <w:sz w:val="16"/>
      <w:szCs w:val="16"/>
      <w:lang w:val="en-US" w:eastAsia="en-US" w:bidi="ar-SA"/>
    </w:rPr>
  </w:style>
  <w:style w:type="paragraph" w:customStyle="1" w:styleId="quotes">
    <w:name w:val="quotes"/>
    <w:basedOn w:val="Normal"/>
    <w:next w:val="Normal"/>
    <w:rsid w:val="007E50BF"/>
    <w:pPr>
      <w:ind w:left="720"/>
    </w:pPr>
    <w:rPr>
      <w:i/>
    </w:rPr>
  </w:style>
  <w:style w:type="character" w:customStyle="1" w:styleId="Mencinsinresolver1">
    <w:name w:val="Mención sin resolver1"/>
    <w:basedOn w:val="DefaultParagraphFont"/>
    <w:uiPriority w:val="99"/>
    <w:semiHidden/>
    <w:unhideWhenUsed/>
    <w:rsid w:val="00B333F6"/>
    <w:rPr>
      <w:color w:val="808080"/>
      <w:shd w:val="clear" w:color="auto" w:fill="E6E6E6"/>
    </w:rPr>
  </w:style>
  <w:style w:type="character" w:styleId="CommentReference">
    <w:name w:val="annotation reference"/>
    <w:basedOn w:val="DefaultParagraphFont"/>
    <w:semiHidden/>
    <w:unhideWhenUsed/>
    <w:rsid w:val="006C296F"/>
    <w:rPr>
      <w:sz w:val="16"/>
      <w:szCs w:val="16"/>
    </w:rPr>
  </w:style>
  <w:style w:type="paragraph" w:styleId="CommentText">
    <w:name w:val="annotation text"/>
    <w:basedOn w:val="Normal"/>
    <w:link w:val="CommentTextChar"/>
    <w:semiHidden/>
    <w:unhideWhenUsed/>
    <w:rsid w:val="006C296F"/>
    <w:pPr>
      <w:spacing w:line="240" w:lineRule="auto"/>
    </w:pPr>
    <w:rPr>
      <w:sz w:val="20"/>
      <w:szCs w:val="20"/>
    </w:rPr>
  </w:style>
  <w:style w:type="character" w:customStyle="1" w:styleId="CommentTextChar">
    <w:name w:val="Comment Text Char"/>
    <w:basedOn w:val="DefaultParagraphFont"/>
    <w:link w:val="CommentText"/>
    <w:semiHidden/>
    <w:rsid w:val="006C296F"/>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6C296F"/>
    <w:rPr>
      <w:b/>
      <w:bCs/>
    </w:rPr>
  </w:style>
  <w:style w:type="character" w:customStyle="1" w:styleId="CommentSubjectChar">
    <w:name w:val="Comment Subject Char"/>
    <w:basedOn w:val="CommentTextChar"/>
    <w:link w:val="CommentSubject"/>
    <w:uiPriority w:val="99"/>
    <w:semiHidden/>
    <w:rsid w:val="006C296F"/>
    <w:rPr>
      <w:b/>
      <w:bCs/>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5458">
      <w:bodyDiv w:val="1"/>
      <w:marLeft w:val="0"/>
      <w:marRight w:val="0"/>
      <w:marTop w:val="0"/>
      <w:marBottom w:val="0"/>
      <w:divBdr>
        <w:top w:val="none" w:sz="0" w:space="0" w:color="auto"/>
        <w:left w:val="none" w:sz="0" w:space="0" w:color="auto"/>
        <w:bottom w:val="none" w:sz="0" w:space="0" w:color="auto"/>
        <w:right w:val="none" w:sz="0" w:space="0" w:color="auto"/>
      </w:divBdr>
    </w:div>
    <w:div w:id="467210530">
      <w:bodyDiv w:val="1"/>
      <w:marLeft w:val="0"/>
      <w:marRight w:val="0"/>
      <w:marTop w:val="0"/>
      <w:marBottom w:val="0"/>
      <w:divBdr>
        <w:top w:val="none" w:sz="0" w:space="0" w:color="auto"/>
        <w:left w:val="none" w:sz="0" w:space="0" w:color="auto"/>
        <w:bottom w:val="none" w:sz="0" w:space="0" w:color="auto"/>
        <w:right w:val="none" w:sz="0" w:space="0" w:color="auto"/>
      </w:divBdr>
      <w:divsChild>
        <w:div w:id="863056663">
          <w:marLeft w:val="0"/>
          <w:marRight w:val="0"/>
          <w:marTop w:val="0"/>
          <w:marBottom w:val="0"/>
          <w:divBdr>
            <w:top w:val="none" w:sz="0" w:space="0" w:color="auto"/>
            <w:left w:val="none" w:sz="0" w:space="0" w:color="auto"/>
            <w:bottom w:val="none" w:sz="0" w:space="0" w:color="auto"/>
            <w:right w:val="none" w:sz="0" w:space="0" w:color="auto"/>
          </w:divBdr>
        </w:div>
      </w:divsChild>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692653950">
      <w:bodyDiv w:val="1"/>
      <w:marLeft w:val="0"/>
      <w:marRight w:val="0"/>
      <w:marTop w:val="0"/>
      <w:marBottom w:val="0"/>
      <w:divBdr>
        <w:top w:val="none" w:sz="0" w:space="0" w:color="auto"/>
        <w:left w:val="none" w:sz="0" w:space="0" w:color="auto"/>
        <w:bottom w:val="none" w:sz="0" w:space="0" w:color="auto"/>
        <w:right w:val="none" w:sz="0" w:space="0" w:color="auto"/>
      </w:divBdr>
      <w:divsChild>
        <w:div w:id="1921284319">
          <w:marLeft w:val="0"/>
          <w:marRight w:val="0"/>
          <w:marTop w:val="0"/>
          <w:marBottom w:val="0"/>
          <w:divBdr>
            <w:top w:val="none" w:sz="0" w:space="0" w:color="auto"/>
            <w:left w:val="none" w:sz="0" w:space="0" w:color="auto"/>
            <w:bottom w:val="none" w:sz="0" w:space="0" w:color="auto"/>
            <w:right w:val="none" w:sz="0" w:space="0" w:color="auto"/>
          </w:divBdr>
        </w:div>
      </w:divsChild>
    </w:div>
    <w:div w:id="1240292685">
      <w:bodyDiv w:val="1"/>
      <w:marLeft w:val="0"/>
      <w:marRight w:val="0"/>
      <w:marTop w:val="0"/>
      <w:marBottom w:val="0"/>
      <w:divBdr>
        <w:top w:val="none" w:sz="0" w:space="0" w:color="auto"/>
        <w:left w:val="none" w:sz="0" w:space="0" w:color="auto"/>
        <w:bottom w:val="none" w:sz="0" w:space="0" w:color="auto"/>
        <w:right w:val="none" w:sz="0" w:space="0" w:color="auto"/>
      </w:divBdr>
    </w:div>
    <w:div w:id="1271013646">
      <w:bodyDiv w:val="1"/>
      <w:marLeft w:val="0"/>
      <w:marRight w:val="0"/>
      <w:marTop w:val="0"/>
      <w:marBottom w:val="0"/>
      <w:divBdr>
        <w:top w:val="none" w:sz="0" w:space="0" w:color="auto"/>
        <w:left w:val="none" w:sz="0" w:space="0" w:color="auto"/>
        <w:bottom w:val="none" w:sz="0" w:space="0" w:color="auto"/>
        <w:right w:val="none" w:sz="0" w:space="0" w:color="auto"/>
      </w:divBdr>
    </w:div>
    <w:div w:id="17713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qid=1538388884031&amp;uri=CELEX%3A52018PC0391" TargetMode="External"/><Relationship Id="rId3" Type="http://schemas.openxmlformats.org/officeDocument/2006/relationships/hyperlink" Target="https://eur-lex.europa.eu/legal-content/EN/TXT/?uri=COM%3A2018%3A372%3AFIN" TargetMode="External"/><Relationship Id="rId7" Type="http://schemas.openxmlformats.org/officeDocument/2006/relationships/hyperlink" Target="http://ec.europa.eu/transparency/regdoc/rep/2/2018/EN/SEC-2018-268-1-EN-MAIN-PART-1.PDF" TargetMode="External"/><Relationship Id="rId2" Type="http://schemas.openxmlformats.org/officeDocument/2006/relationships/hyperlink" Target="https://eur-lex.europa.eu/legal-content/EN/TXT/?uri=COM%3A2018%3A372%3AFIN" TargetMode="External"/><Relationship Id="rId1" Type="http://schemas.openxmlformats.org/officeDocument/2006/relationships/hyperlink" Target="https://eur-lex.europa.eu/legal-content/EN/TXT/?uri=COM%3A2018%3A372%3AFIN" TargetMode="External"/><Relationship Id="rId6" Type="http://schemas.openxmlformats.org/officeDocument/2006/relationships/hyperlink" Target="https://www.eesc.europa.eu/en/our-work/opinions-information-reports/opinions/multiannual-financial-framework-post-2020" TargetMode="External"/><Relationship Id="rId5" Type="http://schemas.openxmlformats.org/officeDocument/2006/relationships/hyperlink" Target="https://www.eesc.europa.eu/en/our-work/opinions-information-reports/opinions/multiannual-financial-framework-post-2020" TargetMode="External"/><Relationship Id="rId4" Type="http://schemas.openxmlformats.org/officeDocument/2006/relationships/hyperlink" Target="https://eur-lex.europa.eu/legal-content/EN/TXT/?uri=COM%3A2018%3A375%3AFIN" TargetMode="External"/><Relationship Id="rId9" Type="http://schemas.openxmlformats.org/officeDocument/2006/relationships/hyperlink" Target="https://eur-lex.europa.eu/legal-content/EN/TXT/?uri=celex%3A32013R1303"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0\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8975caae-a2e4-4a1b-856a-87d8a7cad937">RCSZ5D2JPTA3-7-9618</_dlc_DocId>
    <_dlc_DocIdUrl xmlns="8975caae-a2e4-4a1b-856a-87d8a7cad937">
      <Url>http://dm/EESC/2018/_layouts/DocIdRedir.aspx?ID=RCSZ5D2JPTA3-7-9618</Url>
      <Description>RCSZ5D2JPTA3-7-9618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8975caae-a2e4-4a1b-856a-87d8a7cad937">2018/0197(COD)</Procedure>
    <MeetingNumber xmlns="b96833ba-8621-4012-9120-ea22cde94db8"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975caae-a2e4-4a1b-856a-87d8a7cad937">2018-10-18T12:00:00+00:00</ProductionDate>
    <DocumentNumber xmlns="b96833ba-8621-4012-9120-ea22cde94db8">3269</DocumentNumber>
    <FicheYear xmlns="8975caae-a2e4-4a1b-856a-87d8a7cad937">2018</FicheYear>
    <DocumentVersion xmlns="8975caae-a2e4-4a1b-856a-87d8a7cad937">0</DocumentVersion>
    <DossierNumber xmlns="8975caae-a2e4-4a1b-856a-87d8a7cad937">462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975caae-a2e4-4a1b-856a-87d8a7cad937" xsi:nil="true"/>
    <TaxCatchAll xmlns="8975caae-a2e4-4a1b-856a-87d8a7cad937">
      <Value>45</Value>
      <Value>41</Value>
      <Value>40</Value>
      <Value>39</Value>
      <Value>38</Value>
      <Value>37</Value>
      <Value>33</Value>
      <Value>31</Value>
      <Value>18</Value>
      <Value>28</Value>
      <Value>27</Value>
      <Value>73</Value>
      <Value>24</Value>
      <Value>23</Value>
      <Value>22</Value>
      <Value>21</Value>
      <Value>20</Value>
      <Value>19</Value>
      <Value>16</Value>
      <Value>14</Value>
      <Value>108</Value>
      <Value>13</Value>
      <Value>8</Value>
      <Value>7</Value>
      <Value>6</Value>
      <Value>5</Value>
      <Value>4</Value>
      <Value>1</Value>
      <Value>47</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8975caae-a2e4-4a1b-856a-87d8a7cad937">VARDAKASTANIS &amp; VITALE</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975caae-a2e4-4a1b-856a-87d8a7cad937">12146</FicheNumber>
    <DocumentYear xmlns="8975caae-a2e4-4a1b-856a-87d8a7cad937">2018</DocumentYear>
    <AdoptionDate xmlns="8975caae-a2e4-4a1b-856a-87d8a7cad937">2018-10-17T12:00:00+00:00</AdoptionDate>
    <DocumentPart xmlns="8975caae-a2e4-4a1b-856a-87d8a7cad937">0</DocumentPart>
    <MeetingName_0 xmlns="http://schemas.microsoft.com/sharepoint/v3/fields">
      <Terms xmlns="http://schemas.microsoft.com/office/infopath/2007/PartnerControls"/>
    </MeetingName_0>
    <RequestingService xmlns="8975caae-a2e4-4a1b-856a-87d8a7cad937">Union économique et monétaire, cohésion economique et sociale</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135AEC72E874B8448CC1C05B56464BC2" ma:contentTypeVersion="4" ma:contentTypeDescription="Defines the documents for Document Manager V2" ma:contentTypeScope="" ma:versionID="ede8884e78a606a1f98e78adf11466db">
  <xsd:schema xmlns:xsd="http://www.w3.org/2001/XMLSchema" xmlns:xs="http://www.w3.org/2001/XMLSchema" xmlns:p="http://schemas.microsoft.com/office/2006/metadata/properties" xmlns:ns2="8975caae-a2e4-4a1b-856a-87d8a7cad937" xmlns:ns3="http://schemas.microsoft.com/sharepoint/v3/fields" xmlns:ns4="b96833ba-8621-4012-9120-ea22cde94db8" targetNamespace="http://schemas.microsoft.com/office/2006/metadata/properties" ma:root="true" ma:fieldsID="48f4ef2ca6f9ca306c69bfbc8c40c603" ns2:_="" ns3:_="" ns4:_="">
    <xsd:import namespace="8975caae-a2e4-4a1b-856a-87d8a7cad937"/>
    <xsd:import namespace="http://schemas.microsoft.com/sharepoint/v3/fields"/>
    <xsd:import namespace="b96833ba-8621-4012-9120-ea22cde94db8"/>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5caae-a2e4-4a1b-856a-87d8a7cad9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a5648c8e-9787-4c2b-a5af-05cabe47a075}" ma:internalName="TaxCatchAll" ma:showField="CatchAllData"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5648c8e-9787-4c2b-a5af-05cabe47a075}" ma:internalName="TaxCatchAllLabel" ma:readOnly="true" ma:showField="CatchAllDataLabel" ma:web="8975caae-a2e4-4a1b-856a-87d8a7cad937">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6833ba-8621-4012-9120-ea22cde94db8"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D422F2-F8F0-4E8D-9048-AE26D49E819E}"/>
</file>

<file path=customXml/itemProps2.xml><?xml version="1.0" encoding="utf-8"?>
<ds:datastoreItem xmlns:ds="http://schemas.openxmlformats.org/officeDocument/2006/customXml" ds:itemID="{90CBD04E-6A5E-48AF-A4C2-39AF8D6C755C}"/>
</file>

<file path=customXml/itemProps3.xml><?xml version="1.0" encoding="utf-8"?>
<ds:datastoreItem xmlns:ds="http://schemas.openxmlformats.org/officeDocument/2006/customXml" ds:itemID="{BA470676-BA11-4F02-B286-5FDA13F4F3A5}"/>
</file>

<file path=customXml/itemProps4.xml><?xml version="1.0" encoding="utf-8"?>
<ds:datastoreItem xmlns:ds="http://schemas.openxmlformats.org/officeDocument/2006/customXml" ds:itemID="{4D92D657-FC59-4E87-BFC8-B3A0276DD559}"/>
</file>

<file path=customXml/itemProps5.xml><?xml version="1.0" encoding="utf-8"?>
<ds:datastoreItem xmlns:ds="http://schemas.openxmlformats.org/officeDocument/2006/customXml" ds:itemID="{58DEDF0C-9DAA-4B99-9B53-8BB07459AADE}"/>
</file>

<file path=docProps/app.xml><?xml version="1.0" encoding="utf-8"?>
<Properties xmlns="http://schemas.openxmlformats.org/officeDocument/2006/extended-properties" xmlns:vt="http://schemas.openxmlformats.org/officeDocument/2006/docPropsVTypes">
  <Template>Styles</Template>
  <TotalTime>0</TotalTime>
  <Pages>2</Pages>
  <Words>3800</Words>
  <Characters>21665</Characters>
  <Application>Microsoft Office Word</Application>
  <DocSecurity>0</DocSecurity>
  <Lines>180</Lines>
  <Paragraphs>50</Paragraphs>
  <ScaleCrop>false</ScaleCrop>
  <HeadingPairs>
    <vt:vector size="6" baseType="variant">
      <vt:variant>
        <vt:lpstr>Title</vt:lpstr>
      </vt:variant>
      <vt:variant>
        <vt:i4>1</vt:i4>
      </vt:variant>
      <vt:variant>
        <vt:lpstr>Τίτλος</vt:lpstr>
      </vt:variant>
      <vt:variant>
        <vt:i4>1</vt:i4>
      </vt:variant>
      <vt:variant>
        <vt:lpstr>Título</vt:lpstr>
      </vt:variant>
      <vt:variant>
        <vt:i4>1</vt:i4>
      </vt:variant>
    </vt:vector>
  </HeadingPairs>
  <TitlesOfParts>
    <vt:vector size="3" baseType="lpstr">
      <vt:lpstr>Regulation on the European Regional Development Fund 2021-2027</vt:lpstr>
      <vt:lpstr>Multiannual Financial Framework post 2020</vt:lpstr>
      <vt:lpstr>Multiannual Financial Framework post 2020</vt:lpstr>
    </vt:vector>
  </TitlesOfParts>
  <Company>CESE-CdR</Company>
  <LinksUpToDate>false</LinksUpToDate>
  <CharactersWithSpaces>25415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on the ERDF and Cohesion Fund</dc:title>
  <dc:subject>Committee opinion</dc:subject>
  <dc:creator>Tomas Vocasek</dc:creator>
  <cp:keywords>EESC-2018-03269-00-00-AC-TRA-EN</cp:keywords>
  <dc:description>Rapporteur: - VARDAKASTANIS &amp; VITALE Original language: - EN Date of document: - 18/10/2018 Date of meeting: -  External documents: - COM(2018)372-final Administrator responsible: -  MELEAS GEORGIOS</dc:description>
  <cp:lastModifiedBy>TDriveSVCUserProd</cp:lastModifiedBy>
  <cp:revision>4</cp:revision>
  <cp:lastPrinted>2018-10-18T08:19:00Z</cp:lastPrinted>
  <dcterms:created xsi:type="dcterms:W3CDTF">2018-10-18T13:05:00Z</dcterms:created>
  <dcterms:modified xsi:type="dcterms:W3CDTF">2018-10-18T13:10:00Z</dcterms:modified>
  <cp:category>ECO/462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18/10/2018, 04/10/2018, 03/10/2018, 14/09/2018, 24/08/2018, 24/08/2018, 14/08/2018, 11/07/2018, 31/05/2018, 31/05/2018, 04/11/2015, 27/10/2015, 19/10/2015, 09/10/2015, 05/10/2015, 05/10/2015, 26/08/2015, 26/08/2015, 25/08/2015</vt:lpwstr>
  </property>
  <property fmtid="{D5CDD505-2E9C-101B-9397-08002B2CF9AE}" pid="4" name="Pref_Time">
    <vt:lpwstr>15:02:17, 11:23:31, 15:16:47, 08:59:33, 15:01:48, 14:53:52, 14:11:45, 08:52:39, 11:17:00, 09:13:01, 12:10:07, 14:44:02, 16:04:16, 14:09:30, 16:24:55, 16:04:02, 08:56:14, 07:27:56, 17:31:53</vt:lpwstr>
  </property>
  <property fmtid="{D5CDD505-2E9C-101B-9397-08002B2CF9AE}" pid="5" name="Pref_User">
    <vt:lpwstr>mkop, hnic, mkop, enied, LAchi, htoo, LAchi, enied, jhvi, amett, ssex, enied, amett, tvoc, mreg, mreg, amett, enied, ssex</vt:lpwstr>
  </property>
  <property fmtid="{D5CDD505-2E9C-101B-9397-08002B2CF9AE}" pid="6" name="Pref_FileName">
    <vt:lpwstr>EESC-2018-03269-00-00-AC-TRA-EN-CRR.docx, EESC-2018-03269-00-01-AS-ORI.docx, EESC-2018-03269-00-00-AS-TRA-EN-CRR.docx, EESC-2018-03269-00-00-PA-ORI.docx, EESC-2018-03269-00-01-APA-TRA-EN-CRR.docx, EESC-2018-03269-00-01-APA-CRR-EN.docx, EESC-2018-03269-00-</vt:lpwstr>
  </property>
  <property fmtid="{D5CDD505-2E9C-101B-9397-08002B2CF9AE}" pid="7" name="ContentTypeId">
    <vt:lpwstr>0x010100EA97B91038054C99906057A708A1480A00135AEC72E874B8448CC1C05B56464BC2</vt:lpwstr>
  </property>
  <property fmtid="{D5CDD505-2E9C-101B-9397-08002B2CF9AE}" pid="8" name="_dlc_DocIdItemGuid">
    <vt:lpwstr>ecd906b2-100d-4ac3-985b-1b835afabb5a</vt:lpwstr>
  </property>
  <property fmtid="{D5CDD505-2E9C-101B-9397-08002B2CF9AE}" pid="9" name="DocumentType_0">
    <vt:lpwstr>AC|a4cc1d15-fb08-4679-ad46-e4e0cba5fe92</vt:lpwstr>
  </property>
  <property fmtid="{D5CDD505-2E9C-101B-9397-08002B2CF9AE}" pid="10" name="Procedure">
    <vt:lpwstr>2018/0197(COD)</vt:lpwstr>
  </property>
  <property fmtid="{D5CDD505-2E9C-101B-9397-08002B2CF9AE}" pid="11" name="AvailableTranslations">
    <vt:lpwstr>41;#SV|c2ed69e7-a339-43d7-8f22-d93680a92aa0;#4;#EN|f2175f21-25d7-44a3-96da-d6a61b075e1b;#27;#DE|f6b31e5a-26fa-4935-b661-318e46daf27e;#23;#SK|46d9fce0-ef79-4f71-b89b-cd6aa82426b8;#8;#FR|d2afafd3-4c81-4f60-8f52-ee33f2f54ff3;#13;#DA|5d49c027-8956-412b-aa16-e85a0f96ad0e;#33;#EL|6d4f4d51-af9b-4650-94b4-4276bee85c91;#19;#SL|98a412ae-eb01-49e9-ae3d-585a81724cfc;#39;#LV|46f7e311-5d9f-4663-b433-18aeccb7ace7;#45;#MT|7df99101-6854-4a26-b53a-b88c0da02c26;#21;#CS|72f9705b-0217-4fd3-bea2-cbc7ed80e26e;#14;#NL|55c6556c-b4f4-441d-9acf-c498d4f838bd;#24;#PT|50ccc04a-eadd-42ae-a0cb-acaf45f812ba;#31;#RO|feb747a2-64cd-4299-af12-4833ddc30497;#47;#ET|ff6c3f4c-b02c-4c3c-ab07-2c37995a7a0a;#22;#FI|87606a43-d45f-42d6-b8c9-e1a3457db5b7;#16;#HU|6b229040-c589-4408-b4c1-4285663d20a8;#28;#BG|1a1b3951-7821-4e6a-85f5-5673fc08bd2c;#38;#IT|0774613c-01ed-4e5d-a25d-11d2388de825;#37;#LT|a7ff5ce7-6123-4f68-865a-a57c31810414;#40;#HR|2f555653-ed1a-4fe6-8362-9082d95989e5;#20;#PL|1e03da61-4678-4e07-b136-b5024ca9197b;#18;#ES|e7a6b05b-ae16-40c8-add9-68b64b03aeba</vt:lpwstr>
  </property>
  <property fmtid="{D5CDD505-2E9C-101B-9397-08002B2CF9AE}" pid="12" name="DossierName_0">
    <vt:lpwstr>ECO|8df351f5-c957-404c-8cf3-8ffb22c9cba2</vt:lpwstr>
  </property>
  <property fmtid="{D5CDD505-2E9C-101B-9397-08002B2CF9AE}" pid="13" name="DocumentSource_0">
    <vt:lpwstr>EESC|422833ec-8d7e-4e65-8e4e-8bed07ffb729</vt:lpwstr>
  </property>
  <property fmtid="{D5CDD505-2E9C-101B-9397-08002B2CF9AE}" pid="14" name="FicheYear">
    <vt:i4>2018</vt:i4>
  </property>
  <property fmtid="{D5CDD505-2E9C-101B-9397-08002B2CF9AE}" pid="15" name="DocumentNumber">
    <vt:i4>3269</vt:i4>
  </property>
  <property fmtid="{D5CDD505-2E9C-101B-9397-08002B2CF9AE}" pid="16" name="DocumentVersion">
    <vt:i4>0</vt:i4>
  </property>
  <property fmtid="{D5CDD505-2E9C-101B-9397-08002B2CF9AE}" pid="17" name="DossierNumber">
    <vt:i4>462</vt:i4>
  </property>
  <property fmtid="{D5CDD505-2E9C-101B-9397-08002B2CF9AE}" pid="18" name="DocumentSource">
    <vt:lpwstr>1;#EESC|422833ec-8d7e-4e65-8e4e-8bed07ffb729</vt:lpwstr>
  </property>
  <property fmtid="{D5CDD505-2E9C-101B-9397-08002B2CF9AE}" pid="19" name="AdoptionDate">
    <vt:filetime>2018-10-17T12:00:00Z</vt:filetime>
  </property>
  <property fmtid="{D5CDD505-2E9C-101B-9397-08002B2CF9AE}" pid="20" name="DocumentType">
    <vt:lpwstr>73;#AC|a4cc1d15-fb08-4679-ad46-e4e0cba5fe92</vt:lpwstr>
  </property>
  <property fmtid="{D5CDD505-2E9C-101B-9397-08002B2CF9AE}" pid="21" name="DocumentStatus">
    <vt:lpwstr>7;#TRA|150d2a88-1431-44e6-a8ca-0bb753ab8672</vt:lpwstr>
  </property>
  <property fmtid="{D5CDD505-2E9C-101B-9397-08002B2CF9AE}" pid="22" name="DossierName">
    <vt:lpwstr>108;#ECO|8df351f5-c957-404c-8cf3-8ffb22c9cba2</vt:lpwstr>
  </property>
  <property fmtid="{D5CDD505-2E9C-101B-9397-08002B2CF9AE}" pid="23" name="DocumentPart">
    <vt:i4>0</vt:i4>
  </property>
  <property fmtid="{D5CDD505-2E9C-101B-9397-08002B2CF9AE}" pid="24" name="RequestingService">
    <vt:lpwstr>Union économique et monétaire, cohésion economique et sociale</vt:lpwstr>
  </property>
  <property fmtid="{D5CDD505-2E9C-101B-9397-08002B2CF9AE}" pid="25" name="Confidentiality">
    <vt:lpwstr>5;#Unrestricted|826e22d7-d029-4ec0-a450-0c28ff673572</vt:lpwstr>
  </property>
  <property fmtid="{D5CDD505-2E9C-101B-9397-08002B2CF9AE}" pid="26" name="Confidentiality_0">
    <vt:lpwstr>Unrestricted|826e22d7-d029-4ec0-a450-0c28ff673572</vt:lpwstr>
  </property>
  <property fmtid="{D5CDD505-2E9C-101B-9397-08002B2CF9AE}" pid="27" name="MeetingName_0">
    <vt:lpwstr/>
  </property>
  <property fmtid="{D5CDD505-2E9C-101B-9397-08002B2CF9AE}" pid="28" name="OriginalLanguage">
    <vt:lpwstr>4;#EN|f2175f21-25d7-44a3-96da-d6a61b075e1b</vt:lpwstr>
  </property>
  <property fmtid="{D5CDD505-2E9C-101B-9397-08002B2CF9AE}" pid="29" name="MeetingName">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3" name="TaxCatchAll">
    <vt:lpwstr>108;#ECO|8df351f5-c957-404c-8cf3-8ffb22c9cba2;#7;#TRA|150d2a88-1431-44e6-a8ca-0bb753ab8672;#6;#Final|ea5e6674-7b27-4bac-b091-73adbb394efe;#5;#Unrestricted|826e22d7-d029-4ec0-a450-0c28ff673572;#4;#EN|f2175f21-25d7-44a3-96da-d6a61b075e1b;#1;#EESC|422833ec-8d7e-4e65-8e4e-8bed07ffb729;#73;#AC|a4cc1d15-fb08-4679-ad46-e4e0cba5fe92</vt:lpwstr>
  </property>
  <property fmtid="{D5CDD505-2E9C-101B-9397-08002B2CF9AE}" pid="34" name="AvailableTranslations_0">
    <vt:lpwstr/>
  </property>
  <property fmtid="{D5CDD505-2E9C-101B-9397-08002B2CF9AE}" pid="35" name="VersionStatus">
    <vt:lpwstr>6;#Final|ea5e6674-7b27-4bac-b091-73adbb394efe</vt:lpwstr>
  </property>
  <property fmtid="{D5CDD505-2E9C-101B-9397-08002B2CF9AE}" pid="36" name="Rapporteur">
    <vt:lpwstr>VARDAKASTANIS &amp; VITALE</vt:lpwstr>
  </property>
  <property fmtid="{D5CDD505-2E9C-101B-9397-08002B2CF9AE}" pid="37" name="VersionStatus_0">
    <vt:lpwstr>Final|ea5e6674-7b27-4bac-b091-73adbb394efe</vt:lpwstr>
  </property>
  <property fmtid="{D5CDD505-2E9C-101B-9397-08002B2CF9AE}" pid="38" name="FicheNumber">
    <vt:i4>12146</vt:i4>
  </property>
  <property fmtid="{D5CDD505-2E9C-101B-9397-08002B2CF9AE}" pid="39" name="DocumentYear">
    <vt:i4>2018</vt:i4>
  </property>
  <property fmtid="{D5CDD505-2E9C-101B-9397-08002B2CF9AE}" pid="40" name="DocumentLanguage">
    <vt:lpwstr>4;#EN|f2175f21-25d7-44a3-96da-d6a61b075e1b</vt:lpwstr>
  </property>
</Properties>
</file>