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9237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16T00:00:00Z">
                    <w:dateFormat w:val="dd.MM.yyyy"/>
                    <w:lid w:val="el-GR"/>
                    <w:storeMappedDataAs w:val="dateTime"/>
                    <w:calendar w:val="gregorian"/>
                  </w:date>
                </w:sdtPr>
                <w:sdtEndPr/>
                <w:sdtContent>
                  <w:r w:rsidR="006E5335">
                    <w:t>16.03.2020</w:t>
                  </w:r>
                </w:sdtContent>
              </w:sdt>
            </w:sdtContent>
          </w:sdt>
        </w:sdtContent>
      </w:sdt>
    </w:p>
    <w:p w:rsidR="00A5663B" w:rsidRPr="00A5663B" w:rsidRDefault="0009237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766C0">
            <w:t>395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9237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09237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F95DE7">
                <w:rPr>
                  <w:rStyle w:val="Char2"/>
                  <w:b/>
                  <w:u w:val="none"/>
                </w:rPr>
                <w:t>Π</w:t>
              </w:r>
              <w:r w:rsidR="00F95DE7" w:rsidRPr="00F95DE7">
                <w:rPr>
                  <w:rStyle w:val="Char2"/>
                  <w:b/>
                  <w:u w:val="none"/>
                </w:rPr>
                <w:t>ρόσληψη έκτακτου προσωπικού σε φορείς πρόνοιας για την αντιμετώπιση του COVID-19</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rsidR="00F95DE7" w:rsidRPr="007515F3" w:rsidRDefault="00F95DE7" w:rsidP="00F95DE7">
              <w:pPr>
                <w:rPr>
                  <w:rFonts w:eastAsia="Calibri"/>
                  <w:color w:val="auto"/>
                  <w:sz w:val="24"/>
                  <w:szCs w:val="24"/>
                </w:rPr>
              </w:pPr>
              <w:r w:rsidRPr="007515F3">
                <w:rPr>
                  <w:sz w:val="24"/>
                  <w:szCs w:val="24"/>
                </w:rPr>
                <w:t>Το υπουργείο Εργασίας</w:t>
              </w:r>
              <w:r w:rsidRPr="007515F3">
                <w:rPr>
                  <w:rFonts w:eastAsia="Calibri"/>
                  <w:color w:val="auto"/>
                  <w:sz w:val="24"/>
                  <w:szCs w:val="24"/>
                </w:rPr>
                <w:t xml:space="preserve"> προσλαμβάνει επικουρικό προσωπικό για να ενισχύσει όλες τις δομές πρόνοιας της χώρας. </w:t>
              </w:r>
            </w:p>
            <w:p w:rsidR="00F95DE7" w:rsidRPr="00F95DE7" w:rsidRDefault="00F95DE7" w:rsidP="00F95DE7">
              <w:pPr>
                <w:spacing w:after="200"/>
                <w:rPr>
                  <w:rFonts w:eastAsia="Calibri"/>
                  <w:color w:val="auto"/>
                  <w:sz w:val="24"/>
                  <w:szCs w:val="24"/>
                </w:rPr>
              </w:pPr>
              <w:r w:rsidRPr="00F95DE7">
                <w:rPr>
                  <w:rFonts w:eastAsia="Calibri"/>
                  <w:color w:val="auto"/>
                  <w:sz w:val="24"/>
                  <w:szCs w:val="24"/>
                </w:rPr>
                <w:t xml:space="preserve">Σύμφωνα με την Κοινή Υπουργική Απόφαση που υπογράφουν τα Υπουργεία Εργασίας, Εσωτερικών και Οικονομικών της προκήρυξης, οι νέοι εργαζόμενοι θα απασχοληθούν σε κλειστές δομές, όπως τα </w:t>
              </w:r>
              <w:r w:rsidRPr="00F95DE7">
                <w:rPr>
                  <w:rFonts w:eastAsia="Calibri"/>
                  <w:b/>
                  <w:color w:val="auto"/>
                  <w:sz w:val="24"/>
                  <w:szCs w:val="24"/>
                </w:rPr>
                <w:t>Κέντρα Κοινωνικής Πρόνοιας</w:t>
              </w:r>
              <w:r w:rsidRPr="00F95DE7">
                <w:rPr>
                  <w:rFonts w:eastAsia="Calibri"/>
                  <w:color w:val="auto"/>
                  <w:sz w:val="24"/>
                  <w:szCs w:val="24"/>
                </w:rPr>
                <w:t xml:space="preserve"> ανά την Ελλάδα, στο </w:t>
              </w:r>
              <w:r w:rsidRPr="00F95DE7">
                <w:rPr>
                  <w:rFonts w:eastAsia="Calibri"/>
                  <w:b/>
                  <w:color w:val="auto"/>
                  <w:sz w:val="24"/>
                  <w:szCs w:val="24"/>
                </w:rPr>
                <w:t>Κέντρο Εκπαίδευσης και Αποκατάστασης Τυφλών</w:t>
              </w:r>
              <w:r w:rsidRPr="00F95DE7">
                <w:rPr>
                  <w:rFonts w:eastAsia="Calibri"/>
                  <w:color w:val="auto"/>
                  <w:sz w:val="24"/>
                  <w:szCs w:val="24"/>
                </w:rPr>
                <w:t xml:space="preserve">, στο </w:t>
              </w:r>
              <w:r w:rsidRPr="00F95DE7">
                <w:rPr>
                  <w:rFonts w:eastAsia="Calibri"/>
                  <w:b/>
                  <w:color w:val="auto"/>
                  <w:sz w:val="24"/>
                  <w:szCs w:val="24"/>
                </w:rPr>
                <w:t>Κέντρο Παιδικής Μέριμνας Αρρένων Παπάφειο Θεσσαλονίκης</w:t>
              </w:r>
              <w:r w:rsidRPr="00F95DE7">
                <w:rPr>
                  <w:rFonts w:eastAsia="Calibri"/>
                  <w:color w:val="auto"/>
                  <w:sz w:val="24"/>
                  <w:szCs w:val="24"/>
                </w:rPr>
                <w:t xml:space="preserve"> και στο </w:t>
              </w:r>
              <w:r w:rsidRPr="00F95DE7">
                <w:rPr>
                  <w:rFonts w:eastAsia="Calibri"/>
                  <w:b/>
                  <w:color w:val="auto"/>
                  <w:sz w:val="24"/>
                  <w:szCs w:val="24"/>
                </w:rPr>
                <w:t>Θεραπευτήριο Χρονίων Παθήσεων Ευρυτανίας</w:t>
              </w:r>
              <w:r w:rsidRPr="00F95DE7">
                <w:rPr>
                  <w:rFonts w:eastAsia="Calibri"/>
                  <w:color w:val="auto"/>
                  <w:sz w:val="24"/>
                  <w:szCs w:val="24"/>
                </w:rPr>
                <w:t xml:space="preserve">, μετά από αίτημα των διοικήσεων. Οι αιτήσεις των ενδιαφερόμενων θα υποβληθούν ηλεκτρονικά και θα εξεταστούν εντός 3 ημερών προκειμένου να καλυφθούν οι ανάγκες το ταχύτερο δυνατό.  </w:t>
              </w:r>
            </w:p>
            <w:p w:rsidR="00F95DE7" w:rsidRPr="00F95DE7" w:rsidRDefault="00F95DE7" w:rsidP="00F95DE7">
              <w:pPr>
                <w:spacing w:after="200"/>
                <w:rPr>
                  <w:rFonts w:eastAsia="Calibri"/>
                  <w:color w:val="auto"/>
                  <w:sz w:val="24"/>
                  <w:szCs w:val="24"/>
                </w:rPr>
              </w:pPr>
              <w:r w:rsidRPr="00F95DE7">
                <w:rPr>
                  <w:rFonts w:eastAsia="Calibri"/>
                  <w:color w:val="auto"/>
                  <w:sz w:val="24"/>
                  <w:szCs w:val="24"/>
                </w:rPr>
                <w:t>Δικαίωμα υποβολής αίτησης έχουν όσοι έχουν συμπληρώσει το 18</w:t>
              </w:r>
              <w:r w:rsidRPr="00F95DE7">
                <w:rPr>
                  <w:rFonts w:eastAsia="Calibri"/>
                  <w:color w:val="auto"/>
                  <w:sz w:val="24"/>
                  <w:szCs w:val="24"/>
                  <w:vertAlign w:val="superscript"/>
                </w:rPr>
                <w:t>ο</w:t>
              </w:r>
              <w:r w:rsidRPr="00F95DE7">
                <w:rPr>
                  <w:rFonts w:eastAsia="Calibri"/>
                  <w:color w:val="auto"/>
                  <w:sz w:val="24"/>
                  <w:szCs w:val="24"/>
                </w:rPr>
                <w:t xml:space="preserve"> έτος της ηλικίας τους, είναι κάτοχοι απολυτηρίου λυκείου, πανεπιστημιακής ή τεχνολογικής κατεύθυνσης ανάλογα με τη θέση για την οποία κάνουν αίτηση, οι άνδρες έχουν εκπληρώσει τις στρατιωτικές τους υποχρεώσεις ή έχουν απαλλαγεί νόμιμα από αυτές, δεν έχουν κώλυμα πρόσληψης (π.χ. δεν έχουν καταδικαστεί σε κακούργημα) και υποβάλλουν την αίτηση εντός προθεσμίας. Το επικουρικό προσωπικό προσλαμβάνεται με σύμβαση εργασίας ιδιωτικού δικαίου ορισμένου χρόνου, η οποία λήγει στις 30.09.2020.</w:t>
              </w:r>
            </w:p>
            <w:p w:rsidR="00F95DE7" w:rsidRPr="00F95DE7" w:rsidRDefault="00F95DE7" w:rsidP="00F95DE7">
              <w:pPr>
                <w:spacing w:after="200"/>
                <w:rPr>
                  <w:rFonts w:eastAsia="Calibri"/>
                  <w:color w:val="auto"/>
                  <w:sz w:val="24"/>
                  <w:szCs w:val="24"/>
                </w:rPr>
              </w:pPr>
              <w:r w:rsidRPr="00F95DE7">
                <w:rPr>
                  <w:rFonts w:eastAsia="Calibri"/>
                  <w:color w:val="auto"/>
                  <w:sz w:val="24"/>
                  <w:szCs w:val="24"/>
                </w:rPr>
                <w:t>Παρακάτω παρουσιάζονται οι προβλεπόμενες θέσεις ανά φορέα. Σε αυτές δύναται εντός τριμήνου να προστεθούν επιπλέον σε περίπτωση έκτακτης ανάγκης. Συνολικά ο αριθμός των θέσεων δε δύναται να ξεπερνά τις 500.</w:t>
              </w:r>
            </w:p>
            <w:tbl>
              <w:tblPr>
                <w:tblW w:w="9760" w:type="dxa"/>
                <w:tblInd w:w="118" w:type="dxa"/>
                <w:tblLook w:val="04A0" w:firstRow="1" w:lastRow="0" w:firstColumn="1" w:lastColumn="0" w:noHBand="0" w:noVBand="1"/>
              </w:tblPr>
              <w:tblGrid>
                <w:gridCol w:w="3860"/>
                <w:gridCol w:w="4260"/>
                <w:gridCol w:w="1640"/>
              </w:tblGrid>
              <w:tr w:rsidR="00F95DE7" w:rsidRPr="00F95DE7" w:rsidTr="00397315">
                <w:trPr>
                  <w:trHeight w:val="20"/>
                </w:trPr>
                <w:tc>
                  <w:tcPr>
                    <w:tcW w:w="3860" w:type="dxa"/>
                    <w:vMerge w:val="restart"/>
                    <w:tcBorders>
                      <w:top w:val="single" w:sz="8" w:space="0" w:color="auto"/>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Φορέ</w:t>
                    </w:r>
                    <w:proofErr w:type="spellEnd"/>
                    <w:r w:rsidRPr="00F95DE7">
                      <w:rPr>
                        <w:rFonts w:cs="Calibri"/>
                        <w:b/>
                        <w:bCs/>
                        <w:sz w:val="24"/>
                        <w:szCs w:val="24"/>
                        <w:lang w:val="en-GB" w:eastAsia="en-GB"/>
                      </w:rPr>
                      <w:t xml:space="preserve">ας </w:t>
                    </w:r>
                    <w:proofErr w:type="spellStart"/>
                    <w:r w:rsidRPr="00F95DE7">
                      <w:rPr>
                        <w:rFonts w:cs="Calibri"/>
                        <w:b/>
                        <w:bCs/>
                        <w:sz w:val="24"/>
                        <w:szCs w:val="24"/>
                        <w:lang w:val="en-GB" w:eastAsia="en-GB"/>
                      </w:rPr>
                      <w:t>κοινωνικής</w:t>
                    </w:r>
                    <w:proofErr w:type="spellEnd"/>
                    <w:r w:rsidRPr="00F95DE7">
                      <w:rPr>
                        <w:rFonts w:cs="Calibri"/>
                        <w:b/>
                        <w:bCs/>
                        <w:sz w:val="24"/>
                        <w:szCs w:val="24"/>
                        <w:lang w:val="en-GB" w:eastAsia="en-GB"/>
                      </w:rPr>
                      <w:t xml:space="preserve"> π</w:t>
                    </w:r>
                    <w:proofErr w:type="spellStart"/>
                    <w:r w:rsidRPr="00F95DE7">
                      <w:rPr>
                        <w:rFonts w:cs="Calibri"/>
                        <w:b/>
                        <w:bCs/>
                        <w:sz w:val="24"/>
                        <w:szCs w:val="24"/>
                        <w:lang w:val="en-GB" w:eastAsia="en-GB"/>
                      </w:rPr>
                      <w:t>ρόνοι</w:t>
                    </w:r>
                    <w:proofErr w:type="spellEnd"/>
                    <w:r w:rsidRPr="00F95DE7">
                      <w:rPr>
                        <w:rFonts w:cs="Calibri"/>
                        <w:b/>
                        <w:bCs/>
                        <w:sz w:val="24"/>
                        <w:szCs w:val="24"/>
                        <w:lang w:val="en-GB" w:eastAsia="en-GB"/>
                      </w:rPr>
                      <w:t>ας</w:t>
                    </w:r>
                  </w:p>
                </w:tc>
                <w:tc>
                  <w:tcPr>
                    <w:tcW w:w="5900" w:type="dxa"/>
                    <w:gridSpan w:val="2"/>
                    <w:tcBorders>
                      <w:top w:val="single" w:sz="8" w:space="0" w:color="auto"/>
                      <w:left w:val="nil"/>
                      <w:bottom w:val="single" w:sz="4" w:space="0" w:color="auto"/>
                      <w:right w:val="single" w:sz="8" w:space="0" w:color="000000"/>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Ειδικοτητ</w:t>
                    </w:r>
                    <w:proofErr w:type="spellEnd"/>
                    <w:r w:rsidRPr="00F95DE7">
                      <w:rPr>
                        <w:rFonts w:cs="Calibri"/>
                        <w:b/>
                        <w:bCs/>
                        <w:sz w:val="24"/>
                        <w:szCs w:val="24"/>
                        <w:lang w:val="en-GB" w:eastAsia="en-GB"/>
                      </w:rPr>
                      <w:t>α</w:t>
                    </w:r>
                  </w:p>
                </w:tc>
              </w:tr>
              <w:tr w:rsidR="00F95DE7" w:rsidRPr="00F95DE7" w:rsidTr="00397315">
                <w:trPr>
                  <w:trHeight w:val="20"/>
                </w:trPr>
                <w:tc>
                  <w:tcPr>
                    <w:tcW w:w="3860" w:type="dxa"/>
                    <w:vMerge/>
                    <w:tcBorders>
                      <w:top w:val="single" w:sz="8" w:space="0" w:color="auto"/>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Calibri"/>
                        <w:b/>
                        <w:bCs/>
                        <w:sz w:val="24"/>
                        <w:szCs w:val="24"/>
                        <w:lang w:val="en-GB" w:eastAsia="en-GB"/>
                      </w:rPr>
                    </w:pPr>
                  </w:p>
                </w:tc>
                <w:tc>
                  <w:tcPr>
                    <w:tcW w:w="4260" w:type="dxa"/>
                    <w:tcBorders>
                      <w:top w:val="nil"/>
                      <w:left w:val="nil"/>
                      <w:bottom w:val="single" w:sz="8" w:space="0" w:color="auto"/>
                      <w:right w:val="single" w:sz="4" w:space="0" w:color="auto"/>
                    </w:tcBorders>
                    <w:shd w:val="clear" w:color="000000" w:fill="EDEDED"/>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Κα</w:t>
                    </w:r>
                    <w:proofErr w:type="spellStart"/>
                    <w:r w:rsidRPr="00F95DE7">
                      <w:rPr>
                        <w:rFonts w:cs="Calibri"/>
                        <w:b/>
                        <w:bCs/>
                        <w:sz w:val="24"/>
                        <w:szCs w:val="24"/>
                        <w:lang w:val="en-GB" w:eastAsia="en-GB"/>
                      </w:rPr>
                      <w:t>τηγορί</w:t>
                    </w:r>
                    <w:proofErr w:type="spellEnd"/>
                    <w:r w:rsidRPr="00F95DE7">
                      <w:rPr>
                        <w:rFonts w:cs="Calibri"/>
                        <w:b/>
                        <w:bCs/>
                        <w:sz w:val="24"/>
                        <w:szCs w:val="24"/>
                        <w:lang w:val="en-GB" w:eastAsia="en-GB"/>
                      </w:rPr>
                      <w:t xml:space="preserve">α &amp; </w:t>
                    </w:r>
                    <w:proofErr w:type="spellStart"/>
                    <w:r w:rsidRPr="00F95DE7">
                      <w:rPr>
                        <w:rFonts w:cs="Calibri"/>
                        <w:b/>
                        <w:bCs/>
                        <w:sz w:val="24"/>
                        <w:szCs w:val="24"/>
                        <w:lang w:val="en-GB" w:eastAsia="en-GB"/>
                      </w:rPr>
                      <w:t>ειδικότητ</w:t>
                    </w:r>
                    <w:proofErr w:type="spellEnd"/>
                    <w:r w:rsidRPr="00F95DE7">
                      <w:rPr>
                        <w:rFonts w:cs="Calibri"/>
                        <w:b/>
                        <w:bCs/>
                        <w:sz w:val="24"/>
                        <w:szCs w:val="24"/>
                        <w:lang w:val="en-GB" w:eastAsia="en-GB"/>
                      </w:rPr>
                      <w:t>α</w:t>
                    </w:r>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Αριθμός</w:t>
                    </w:r>
                    <w:proofErr w:type="spellEnd"/>
                    <w:r w:rsidRPr="00F95DE7">
                      <w:rPr>
                        <w:rFonts w:cs="Calibri"/>
                        <w:b/>
                        <w:bCs/>
                        <w:sz w:val="24"/>
                        <w:szCs w:val="24"/>
                        <w:lang w:val="en-GB" w:eastAsia="en-GB"/>
                      </w:rPr>
                      <w:t xml:space="preserve"> </w:t>
                    </w:r>
                    <w:proofErr w:type="spellStart"/>
                    <w:r w:rsidRPr="00F95DE7">
                      <w:rPr>
                        <w:rFonts w:cs="Calibri"/>
                        <w:b/>
                        <w:bCs/>
                        <w:sz w:val="24"/>
                        <w:szCs w:val="24"/>
                        <w:lang w:val="en-GB" w:eastAsia="en-GB"/>
                      </w:rPr>
                      <w:t>θέσεων</w:t>
                    </w:r>
                    <w:proofErr w:type="spellEnd"/>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ΚΚΠ ΑΝΑΤ.ΜΑΚΕΔΟΝΙΑΣ &amp; ΘΡΑΚΗΣ</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9</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ΜΑΓΕΙΡΩΝ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10</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 xml:space="preserve">ΔΕ ΔΙΟΙΚΗΤΙΚΟΣ ΕΠΙΜΕΛΗΤΩΝ ΠΑΙΔΙΩΝ / ΕΠΙΜΕΛΗΤΩΝ / ΕΠΙΜΕΛΗΤΩΝ ΚΟΙΝΩΝΙΚΗΣ ΠΡΟΝΟΙΑΣ / ΕΠΙΜΕΛΗΤΩΝ ΠΡΟΝΟΙΑΣ / ΚΟΙΝΩΝΙΚΩΝ ΕΠΙΜΕΛΗΤΩΝ / </w:t>
                    </w:r>
                    <w:r w:rsidRPr="00F95DE7">
                      <w:rPr>
                        <w:rFonts w:cs="Calibri"/>
                        <w:sz w:val="24"/>
                        <w:szCs w:val="24"/>
                        <w:lang w:eastAsia="en-GB"/>
                      </w:rPr>
                      <w:lastRenderedPageBreak/>
                      <w:t>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lastRenderedPageBreak/>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ΠΡΟΣΩΠΙΚΟΥ ΕΣΤΙΑΣΗΣ</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32</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ΚΚΠ ΚΕΝΤΡΙΚΗΣ ΜΑΚΕΔΟΝΙΑΣ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ΠΕ ΙΑΤΡΩΝ/ ΙΑΤΡΩΝ ΕΙΔΙΚΟΤΗΤΩΝ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6</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ΤΕ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ΜΑΓΕΙΡΩΝ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ΔΙΟΙΚΗΤΙΚΟΣ ΕΠΙΜΕΛΗΤΩΝ ΠΑΙΔΙΩΝ / ΕΠΙΜΕΛΗΤΩΝ / ΕΠΙΜΕΛΗΤΩΝ ΚΟΙΝΩΝΙΚΗΣ ΠΡΟΝΟΙΑΣ / ΕΠΙΜΕΛΗΤΩΝ 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73</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ΚΚΠ ΔΥΤΙΚΗΣ ΜΑΚΕΔΟΝΙΑΣ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ΔΙΟΙΚΗΤΙΚΟΣ ΕΠΙΜΕΛΗΤΩΝ ΠΑΙΔΙΩΝ / ΕΠΙΜΕΛΗΤΩΝ / ΕΠΙΜΕΛΗΤΩΝ ΚΟΙΝΩΝΙΚΗΣ ΠΡΟΝΟΙΑΣ / ΕΠΙΜΕΛΗΤΩΝ 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5</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sz w:val="24"/>
                        <w:szCs w:val="24"/>
                        <w:lang w:val="en-GB" w:eastAsia="en-GB"/>
                      </w:rPr>
                    </w:pPr>
                    <w:r w:rsidRPr="00F95DE7">
                      <w:rPr>
                        <w:rFonts w:cs="Arial"/>
                        <w:b/>
                        <w:bCs/>
                        <w:sz w:val="24"/>
                        <w:szCs w:val="24"/>
                        <w:lang w:val="en-GB" w:eastAsia="en-GB"/>
                      </w:rPr>
                      <w:t xml:space="preserve">ΚΚΠ ΗΠΕΙΡΟΥ </w:t>
                    </w:r>
                    <w:r w:rsidRPr="00F95DE7">
                      <w:rPr>
                        <w:rFonts w:cs="Arial"/>
                        <w:b/>
                        <w:bCs/>
                        <w:color w:val="FF0000"/>
                        <w:sz w:val="24"/>
                        <w:szCs w:val="24"/>
                        <w:lang w:val="en-GB" w:eastAsia="en-GB"/>
                      </w:rPr>
                      <w:t xml:space="preserve">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ΠΕ ΙΑΤΡΩΝ/ ΙΑΤΡΩΝ ΕΙΔΙΚΟΤΗΤΩΝ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ΤΕ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7</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ΜΑΓΕΙΡΩΝ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 xml:space="preserve">ΔΕ ΔΙΟΙΚΗΤΙΚΟΣ ΕΠΙΜΕΛΗΤΩΝ ΠΑΙΔΙΩΝ / ΕΠΙΜΕΛΗΤΩΝ / ΕΠΙΜΕΛΗΤΩΝ ΚΟΙΝΩΝΙΚΗΣ ΠΡΟΝΟΙΑΣ / ΕΠΙΜΕΛΗΤΩΝ ΠΡΟΝΟΙΑΣ / ΚΟΙΝΩΝΙΚΩΝ ΕΠΙΜΕΛΗΤΩΝ / ΚΟΙΝΩΝΙΚΩΝ ΕΠΙΜΕΛΗΤΩΝ – </w:t>
                    </w:r>
                    <w:r w:rsidRPr="00F95DE7">
                      <w:rPr>
                        <w:rFonts w:cs="Calibri"/>
                        <w:sz w:val="24"/>
                        <w:szCs w:val="24"/>
                        <w:lang w:eastAsia="en-GB"/>
                      </w:rPr>
                      <w:lastRenderedPageBreak/>
                      <w:t>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lastRenderedPageBreak/>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ΤΕ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7E6E6"/>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38</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ΚΚΠ ΘΕΣΣΑΛΙΑΣ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ΠΕ ΙΑΤΡΩΝ/ ΙΑΤΡΩΝ ΕΙΔΙΚΟΤΗΤΩΝ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7</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ΤΕ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9</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9</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ΔΙΟΙΚΗΤΙΚΟΣ ΕΠΙΜΕΛΗΤΩΝ ΠΑΙΔΙΩΝ / ΕΠΙΜΕΛΗΤΩΝ / ΕΠΙΜΕΛΗΤΩΝ ΚΟΙΝΩΝΙΚΗΣ ΠΡΟΝΟΙΑΣ / ΕΠΙΜΕΛΗΤΩΝ 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9</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ΜΑΓΕΙΡΩΝ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7E6E6"/>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40</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ΚΚΠ ΔΥΤ.ΕΛΛΑΔΑΣ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ΤΕ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ΜΑΓΕΙΡΩΝ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ΠΡΟΣΩΠΙΚΟΥ ΕΣΤΙΑΣΗΣ</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ΔΙΟΙΚΗΤΙΚΟΣ ΕΠΙΜΕΛΗΤΩΝ ΠΑΙΔΙΩΝ / ΕΠΙΜΕΛΗΤΩΝ / ΕΠΙΜΕΛΗΤΩΝ ΚΟΙΝΩΝΙΚΗΣ ΠΡΟΝΟΙΑΣ / ΕΠΙΜΕΛΗΤΩΝ 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10</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28</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ΚΚΠ ΒΟΡΕΙΟΥ ΑΙΓΑΙΟΥ</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ΤΕ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 xml:space="preserve">ΔΕ ΔΙΟΙΚΗΤΙΚΟΣ ΕΠΙΜΕΛΗΤΩΝ ΠΑΙΔΙΩΝ / ΕΠΙΜΕΛΗΤΩΝ / ΕΠΙΜΕΛΗΤΩΝ ΚΟΙΝΩΝΙΚΗΣ ΠΡΟΝΟΙΑΣ / ΕΠΙΜΕΛΗΤΩΝ </w:t>
                    </w:r>
                    <w:r w:rsidRPr="00F95DE7">
                      <w:rPr>
                        <w:rFonts w:cs="Calibri"/>
                        <w:sz w:val="24"/>
                        <w:szCs w:val="24"/>
                        <w:lang w:eastAsia="en-GB"/>
                      </w:rPr>
                      <w:lastRenderedPageBreak/>
                      <w:t>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lastRenderedPageBreak/>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12</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ΚΚΠ ΝΟΤΙΟΥ ΑΙΓΑΙΟΥ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ΠΕ ΙΑΤΡΩΝ/ ΙΑΤΡΩΝ ΕΙΔΙΚΟΤΗΤΩΝ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8</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7</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ΠΡΟΣΩΠΙΚΟΥ ΕΣΤΙΑΣΗΣ</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ΒΟΗΘΩΝ ΠΑΙΔΑΓΩΓΩΝ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eastAsia="en-GB"/>
                      </w:rPr>
                      <w:t>ΔΕ ΒΟΗΘΩΝ ΒΡΕΦΟΚΟΜΩΝ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22</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ΚΚΠ ΣΤΕΡΕΑΣ ΕΛΛΑΔΑΣ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ΤΕ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ΔΙΟΙΚΗΤΙΚΟΣ ΕΠΙΜΕΛΗΤΩΝ ΠΑΙΔΙΩΝ / ΕΠΙΜΕΛΗΤΩΝ / ΕΠΙΜΕΛΗΤΩΝ ΚΟΙΝΩΝΙΚΗΣ ΠΡΟΝΟΙΑΣ / ΕΠΙΜΕΛΗΤΩΝ 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ΜΑΓΕΡΩΝ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ΠΡΟΣΩΠΙΚΟΥ ΕΣΤΙΑΣΗΣ</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eastAsia="en-GB"/>
                      </w:rPr>
                      <w:t>ΔΕ ΒΟΗΘΩΝ ΠΑΙΔΑΓΩΓΩΝ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7E6E6"/>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16</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ΚΚΠ ΑΤΤΙΚΗΣ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ΠΕ ΙΑΤΡΩΝ/ ΙΑΤΡΩΝ ΕΙΔΙΚΟΤΗΤΩΝ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8</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ΤΕ ΝΟΣΗΛΕΥΤΙΚΗΣ</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10</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eastAsia="en-GB"/>
                      </w:rPr>
                      <w:t>ΔΕ ΒΟΗΘΩΝ ΒΡΕΦΟΚΟΜΩΝ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20</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ΔΙΟΙΚΗΤΙΚΟΣ ΕΠΙΜΕΛΗΤΩΝ ΠΑΙΔΙΩΝ / ΕΠΙΜΕΛΗΤΩΝ / ΕΠΙΜΕΛΗΤΩΝ ΚΟΙΝΩΝΙΚΗΣ ΠΡΟΝΟΙΑΣ / ΕΠΙΜΕΛΗΤΩΝ 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50</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ΜΑΓΕΙΡΩΝ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ΠΡΟΣΩΠΙΚΟΥ ΕΣΤΙΑΣΗΣ</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11</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18</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ΣΥΝΟΛΟ</w:t>
                    </w:r>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146</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ΚΚΠ ΙΟΝΙΩΝ ΝΗΣΩΝ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8</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ΚΚΠ ΚΡΗΤΗΣ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ΤΕ ΝΟΣΗΛΕΥΤΙΚΗΣ</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ΠΡΟΣΩΠΙΚΟΥ ΕΣΤΙΑΣΗΣ</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2</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ΜΑΓΕΙΡΩΝ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ΔΙΟΙΚΗΤΙΚΟΣ ΕΠΙΜΕΛΗΤΩΝ ΠΑΙΔΙΩΝ / ΕΠΙΜΕΛΗΤΩΝ / ΕΠΙΜΕΛΗΤΩΝ ΚΟΙΝΩΝΙΚΗΣ ΠΡΟΝΟΙΑΣ / ΕΠΙΜΕΛΗΤΩΝ 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ΣΥΝΟΛΟ</w:t>
                    </w:r>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38</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ΘΕΡΑΠΕΥΤΗΡΙΟ ΧΡΟΝΙΩΝ ΠΑΘΗΣΕΩΝ ΕΥΡΥΤΑΝΙΑΣ </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ΒΟΗΘΩΝ ΝΟΣΟΚΟΜΩΝ/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4</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ΥΕ ΒΟΗΘΗΤΙΚΟΥ ΥΓΕΙΟΝΟΜΙΚΟΥ ΠΡΟΣΩΠΙΚΟΥ</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ΔΙΟΙΚΗΤΙΚΟΣ ΕΠΙΜΕΛΗΤΩΝ ΠΑΙΔΙΩΝ / ΕΠΙΜΕΛΗΤΩΝ / ΕΠΙΜΕΛΗΤΩΝ ΚΟΙΝΩΝΙΚΗΣ ΠΡΟΝΟΙΑΣ / ΕΠΙΜΕΛΗΤΩΝ 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7E6E6"/>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12</w:t>
                    </w:r>
                  </w:p>
                </w:tc>
              </w:tr>
              <w:tr w:rsidR="00F95DE7" w:rsidRPr="00F95DE7" w:rsidTr="00397315">
                <w:trPr>
                  <w:trHeight w:val="20"/>
                </w:trPr>
                <w:tc>
                  <w:tcPr>
                    <w:tcW w:w="3860" w:type="dxa"/>
                    <w:tcBorders>
                      <w:top w:val="nil"/>
                      <w:left w:val="single" w:sz="4" w:space="0" w:color="auto"/>
                      <w:bottom w:val="nil"/>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 xml:space="preserve">ΕΘΝΙΚΟ ΙΔΡΥΜΑ ΚΩΦΩΝ </w:t>
                    </w:r>
                  </w:p>
                </w:tc>
                <w:tc>
                  <w:tcPr>
                    <w:tcW w:w="4260" w:type="dxa"/>
                    <w:tcBorders>
                      <w:top w:val="nil"/>
                      <w:left w:val="nil"/>
                      <w:bottom w:val="nil"/>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nil"/>
                      <w:right w:val="single" w:sz="4"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0</w:t>
                    </w:r>
                  </w:p>
                </w:tc>
              </w:tr>
              <w:tr w:rsidR="00F95DE7" w:rsidRPr="00F95DE7" w:rsidTr="00397315">
                <w:trPr>
                  <w:trHeight w:val="20"/>
                </w:trPr>
                <w:tc>
                  <w:tcPr>
                    <w:tcW w:w="3860" w:type="dxa"/>
                    <w:vMerge w:val="restart"/>
                    <w:tcBorders>
                      <w:top w:val="single" w:sz="8" w:space="0" w:color="auto"/>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t>ΚΕΑΤ</w:t>
                    </w:r>
                  </w:p>
                </w:tc>
                <w:tc>
                  <w:tcPr>
                    <w:tcW w:w="4260" w:type="dxa"/>
                    <w:tcBorders>
                      <w:top w:val="single" w:sz="8" w:space="0" w:color="auto"/>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eastAsia="en-GB"/>
                      </w:rPr>
                      <w:t>ΔΕ ΒΟΗΘΩΝ ΒΡΕΦΟΚΟΜΩΝ</w:t>
                    </w:r>
                  </w:p>
                </w:tc>
                <w:tc>
                  <w:tcPr>
                    <w:tcW w:w="1640" w:type="dxa"/>
                    <w:tcBorders>
                      <w:top w:val="single" w:sz="8" w:space="0" w:color="auto"/>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3</w:t>
                    </w:r>
                  </w:p>
                </w:tc>
              </w:tr>
              <w:tr w:rsidR="00F95DE7" w:rsidRPr="00F95DE7" w:rsidTr="00397315">
                <w:trPr>
                  <w:trHeight w:val="20"/>
                </w:trPr>
                <w:tc>
                  <w:tcPr>
                    <w:tcW w:w="3860" w:type="dxa"/>
                    <w:vMerge/>
                    <w:tcBorders>
                      <w:top w:val="single" w:sz="8" w:space="0" w:color="auto"/>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ΔΕ ΒΟΗΘΩΝ ΝΟΣΗΛΕΥΤΩΝ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1</w:t>
                    </w:r>
                  </w:p>
                </w:tc>
              </w:tr>
              <w:tr w:rsidR="00F95DE7" w:rsidRPr="00F95DE7" w:rsidTr="00397315">
                <w:trPr>
                  <w:trHeight w:val="20"/>
                </w:trPr>
                <w:tc>
                  <w:tcPr>
                    <w:tcW w:w="3860" w:type="dxa"/>
                    <w:vMerge/>
                    <w:tcBorders>
                      <w:top w:val="single" w:sz="8" w:space="0" w:color="auto"/>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ΣΥΝΟΛΟ</w:t>
                    </w:r>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4</w:t>
                    </w:r>
                  </w:p>
                </w:tc>
              </w:tr>
              <w:tr w:rsidR="00F95DE7" w:rsidRPr="00F95DE7" w:rsidTr="00397315">
                <w:trPr>
                  <w:trHeight w:val="20"/>
                </w:trPr>
                <w:tc>
                  <w:tcPr>
                    <w:tcW w:w="3860" w:type="dxa"/>
                    <w:vMerge w:val="restart"/>
                    <w:tcBorders>
                      <w:top w:val="nil"/>
                      <w:left w:val="single" w:sz="8" w:space="0" w:color="auto"/>
                      <w:bottom w:val="single" w:sz="8" w:space="0" w:color="000000"/>
                      <w:right w:val="single" w:sz="4" w:space="0" w:color="auto"/>
                    </w:tcBorders>
                    <w:shd w:val="clear" w:color="000000" w:fill="EDEDED"/>
                    <w:noWrap/>
                    <w:hideMark/>
                  </w:tcPr>
                  <w:p w:rsidR="00F95DE7" w:rsidRPr="00F95DE7" w:rsidRDefault="00F95DE7" w:rsidP="00F95DE7">
                    <w:pPr>
                      <w:spacing w:after="0" w:line="240" w:lineRule="auto"/>
                      <w:jc w:val="left"/>
                      <w:rPr>
                        <w:rFonts w:cs="Arial"/>
                        <w:b/>
                        <w:bCs/>
                        <w:color w:val="auto"/>
                        <w:sz w:val="24"/>
                        <w:szCs w:val="24"/>
                        <w:lang w:val="en-GB" w:eastAsia="en-GB"/>
                      </w:rPr>
                    </w:pPr>
                    <w:r w:rsidRPr="00F95DE7">
                      <w:rPr>
                        <w:rFonts w:cs="Arial"/>
                        <w:b/>
                        <w:bCs/>
                        <w:color w:val="auto"/>
                        <w:sz w:val="24"/>
                        <w:szCs w:val="24"/>
                        <w:lang w:val="en-GB" w:eastAsia="en-GB"/>
                      </w:rPr>
                      <w:lastRenderedPageBreak/>
                      <w:t>ΠΑΠΑΦΕΙΟ</w:t>
                    </w:r>
                  </w:p>
                </w:tc>
                <w:tc>
                  <w:tcPr>
                    <w:tcW w:w="4260" w:type="dxa"/>
                    <w:tcBorders>
                      <w:top w:val="nil"/>
                      <w:left w:val="nil"/>
                      <w:bottom w:val="single" w:sz="4"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sz w:val="24"/>
                        <w:szCs w:val="24"/>
                        <w:lang w:eastAsia="en-GB"/>
                      </w:rPr>
                    </w:pPr>
                    <w:r w:rsidRPr="00F95DE7">
                      <w:rPr>
                        <w:rFonts w:cs="Calibri"/>
                        <w:sz w:val="24"/>
                        <w:szCs w:val="24"/>
                        <w:lang w:eastAsia="en-GB"/>
                      </w:rPr>
                      <w:t>ΔΕ ΔΙΟΙΚΗΤΙΚΟΣ ΕΠΙΜΕΛΗΤΩΝ ΠΑΙΔΙΩΝ / ΕΠΙΜΕΛΗΤΩΝ / ΕΠΙΜΕΛΗΤΩΝ ΚΟΙΝΩΝΙΚΗΣ ΠΡΟΝΟΙΑΣ / ΕΠΙΜΕΛΗΤΩΝ ΠΡΟΝΟΙΑΣ / ΚΟΙΝΩΝΙΚΩΝ ΕΠΙΜΕΛΗΤΩΝ / ΚΟΙΝΩΝΙΚΩΝ ΕΠΙΜΕΛΗΤΩΝ – ΦΡΟΝΤΙΣΤΩΝ ΠΑΙΔΙΩΝ / ΚΟΙΝΩΝΙΚΩΝ ΦΡΟΝΤΙΣΤΩΝ</w:t>
                    </w:r>
                  </w:p>
                </w:tc>
                <w:tc>
                  <w:tcPr>
                    <w:tcW w:w="1640" w:type="dxa"/>
                    <w:tcBorders>
                      <w:top w:val="nil"/>
                      <w:left w:val="nil"/>
                      <w:bottom w:val="single" w:sz="4" w:space="0" w:color="auto"/>
                      <w:right w:val="single" w:sz="8" w:space="0" w:color="auto"/>
                    </w:tcBorders>
                    <w:shd w:val="clear" w:color="auto" w:fill="auto"/>
                    <w:noWrap/>
                    <w:hideMark/>
                  </w:tcPr>
                  <w:p w:rsidR="00F95DE7" w:rsidRPr="00F95DE7" w:rsidRDefault="00F95DE7" w:rsidP="00F95DE7">
                    <w:pPr>
                      <w:spacing w:after="0" w:line="240" w:lineRule="auto"/>
                      <w:jc w:val="left"/>
                      <w:rPr>
                        <w:rFonts w:cs="Calibri"/>
                        <w:sz w:val="24"/>
                        <w:szCs w:val="24"/>
                        <w:lang w:val="en-GB" w:eastAsia="en-GB"/>
                      </w:rPr>
                    </w:pPr>
                    <w:r w:rsidRPr="00F95DE7">
                      <w:rPr>
                        <w:rFonts w:cs="Calibri"/>
                        <w:sz w:val="24"/>
                        <w:szCs w:val="24"/>
                        <w:lang w:val="en-GB" w:eastAsia="en-GB"/>
                      </w:rPr>
                      <w:t>5</w:t>
                    </w:r>
                  </w:p>
                </w:tc>
              </w:tr>
              <w:tr w:rsidR="00F95DE7" w:rsidRPr="00F95DE7" w:rsidTr="00397315">
                <w:trPr>
                  <w:trHeight w:val="20"/>
                </w:trPr>
                <w:tc>
                  <w:tcPr>
                    <w:tcW w:w="3860" w:type="dxa"/>
                    <w:vMerge/>
                    <w:tcBorders>
                      <w:top w:val="nil"/>
                      <w:left w:val="single" w:sz="8" w:space="0" w:color="auto"/>
                      <w:bottom w:val="single" w:sz="8" w:space="0" w:color="000000"/>
                      <w:right w:val="single" w:sz="4" w:space="0" w:color="auto"/>
                    </w:tcBorders>
                    <w:hideMark/>
                  </w:tcPr>
                  <w:p w:rsidR="00F95DE7" w:rsidRPr="00F95DE7" w:rsidRDefault="00F95DE7" w:rsidP="00F95DE7">
                    <w:pPr>
                      <w:spacing w:after="0" w:line="240" w:lineRule="auto"/>
                      <w:jc w:val="left"/>
                      <w:rPr>
                        <w:rFonts w:cs="Arial"/>
                        <w:b/>
                        <w:bCs/>
                        <w:color w:val="auto"/>
                        <w:sz w:val="24"/>
                        <w:szCs w:val="24"/>
                        <w:lang w:val="en-GB" w:eastAsia="en-GB"/>
                      </w:rPr>
                    </w:pPr>
                  </w:p>
                </w:tc>
                <w:tc>
                  <w:tcPr>
                    <w:tcW w:w="4260" w:type="dxa"/>
                    <w:tcBorders>
                      <w:top w:val="nil"/>
                      <w:left w:val="nil"/>
                      <w:bottom w:val="single" w:sz="8" w:space="0" w:color="auto"/>
                      <w:right w:val="single" w:sz="4" w:space="0" w:color="auto"/>
                    </w:tcBorders>
                    <w:shd w:val="clear" w:color="auto" w:fill="auto"/>
                    <w:hideMark/>
                  </w:tcPr>
                  <w:p w:rsidR="00F95DE7" w:rsidRPr="00F95DE7" w:rsidRDefault="00F95DE7" w:rsidP="00F95DE7">
                    <w:pPr>
                      <w:spacing w:after="0" w:line="240" w:lineRule="auto"/>
                      <w:jc w:val="left"/>
                      <w:rPr>
                        <w:rFonts w:cs="Calibri"/>
                        <w:b/>
                        <w:bCs/>
                        <w:sz w:val="24"/>
                        <w:szCs w:val="24"/>
                        <w:lang w:val="en-GB" w:eastAsia="en-GB"/>
                      </w:rPr>
                    </w:pPr>
                    <w:proofErr w:type="spellStart"/>
                    <w:r w:rsidRPr="00F95DE7">
                      <w:rPr>
                        <w:rFonts w:cs="Calibri"/>
                        <w:b/>
                        <w:bCs/>
                        <w:sz w:val="24"/>
                        <w:szCs w:val="24"/>
                        <w:lang w:val="en-GB" w:eastAsia="en-GB"/>
                      </w:rPr>
                      <w:t>Σύνολο</w:t>
                    </w:r>
                    <w:proofErr w:type="spellEnd"/>
                  </w:p>
                </w:tc>
                <w:tc>
                  <w:tcPr>
                    <w:tcW w:w="1640" w:type="dxa"/>
                    <w:tcBorders>
                      <w:top w:val="nil"/>
                      <w:left w:val="nil"/>
                      <w:bottom w:val="single" w:sz="8" w:space="0" w:color="auto"/>
                      <w:right w:val="single" w:sz="8" w:space="0" w:color="auto"/>
                    </w:tcBorders>
                    <w:shd w:val="clear" w:color="000000" w:fill="EDEDED"/>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5</w:t>
                    </w:r>
                  </w:p>
                </w:tc>
              </w:tr>
              <w:tr w:rsidR="00F95DE7" w:rsidRPr="00F95DE7" w:rsidTr="00397315">
                <w:trPr>
                  <w:trHeight w:val="20"/>
                </w:trPr>
                <w:tc>
                  <w:tcPr>
                    <w:tcW w:w="8120" w:type="dxa"/>
                    <w:gridSpan w:val="2"/>
                    <w:tcBorders>
                      <w:top w:val="single" w:sz="8" w:space="0" w:color="auto"/>
                      <w:left w:val="single" w:sz="8" w:space="0" w:color="auto"/>
                      <w:bottom w:val="single" w:sz="8" w:space="0" w:color="auto"/>
                      <w:right w:val="nil"/>
                    </w:tcBorders>
                    <w:shd w:val="clear" w:color="auto" w:fill="auto"/>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ΤΕΛΙΚΟ ΣΥΝΟΛΟ</w:t>
                    </w:r>
                  </w:p>
                </w:tc>
                <w:tc>
                  <w:tcPr>
                    <w:tcW w:w="1640" w:type="dxa"/>
                    <w:tcBorders>
                      <w:top w:val="nil"/>
                      <w:left w:val="nil"/>
                      <w:bottom w:val="single" w:sz="8" w:space="0" w:color="auto"/>
                      <w:right w:val="single" w:sz="8" w:space="0" w:color="auto"/>
                    </w:tcBorders>
                    <w:shd w:val="clear" w:color="000000" w:fill="E7E6E6"/>
                    <w:noWrap/>
                    <w:hideMark/>
                  </w:tcPr>
                  <w:p w:rsidR="00F95DE7" w:rsidRPr="00F95DE7" w:rsidRDefault="00F95DE7" w:rsidP="00F95DE7">
                    <w:pPr>
                      <w:spacing w:after="0" w:line="240" w:lineRule="auto"/>
                      <w:jc w:val="left"/>
                      <w:rPr>
                        <w:rFonts w:cs="Calibri"/>
                        <w:b/>
                        <w:bCs/>
                        <w:sz w:val="24"/>
                        <w:szCs w:val="24"/>
                        <w:lang w:val="en-GB" w:eastAsia="en-GB"/>
                      </w:rPr>
                    </w:pPr>
                    <w:r w:rsidRPr="00F95DE7">
                      <w:rPr>
                        <w:rFonts w:cs="Calibri"/>
                        <w:b/>
                        <w:bCs/>
                        <w:sz w:val="24"/>
                        <w:szCs w:val="24"/>
                        <w:lang w:val="en-GB" w:eastAsia="en-GB"/>
                      </w:rPr>
                      <w:t>479</w:t>
                    </w:r>
                  </w:p>
                </w:tc>
              </w:tr>
            </w:tbl>
            <w:p w:rsidR="00F95DE7" w:rsidRPr="007515F3" w:rsidRDefault="00F95DE7" w:rsidP="00F95DE7">
              <w:pPr>
                <w:rPr>
                  <w:sz w:val="24"/>
                  <w:szCs w:val="24"/>
                </w:rPr>
              </w:pPr>
            </w:p>
            <w:p w:rsidR="0076008A" w:rsidRPr="00065190" w:rsidRDefault="006E5335" w:rsidP="00065190">
              <w:r w:rsidRPr="007515F3">
                <w:rPr>
                  <w:sz w:val="24"/>
                  <w:szCs w:val="24"/>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71" w:rsidRDefault="00092371" w:rsidP="00A5663B">
      <w:pPr>
        <w:spacing w:after="0" w:line="240" w:lineRule="auto"/>
      </w:pPr>
      <w:r>
        <w:separator/>
      </w:r>
    </w:p>
    <w:p w:rsidR="00092371" w:rsidRDefault="00092371"/>
  </w:endnote>
  <w:endnote w:type="continuationSeparator" w:id="0">
    <w:p w:rsidR="00092371" w:rsidRDefault="00092371" w:rsidP="00A5663B">
      <w:pPr>
        <w:spacing w:after="0" w:line="240" w:lineRule="auto"/>
      </w:pPr>
      <w:r>
        <w:continuationSeparator/>
      </w:r>
    </w:p>
    <w:p w:rsidR="00092371" w:rsidRDefault="00092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C766C0">
              <w:rPr>
                <w:noProof/>
              </w:rPr>
              <w:t>2</w:t>
            </w:r>
            <w:r>
              <w:fldChar w:fldCharType="end"/>
            </w:r>
          </w:p>
          <w:p w:rsidR="0076008A" w:rsidRDefault="0009237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71" w:rsidRDefault="00092371" w:rsidP="00A5663B">
      <w:pPr>
        <w:spacing w:after="0" w:line="240" w:lineRule="auto"/>
      </w:pPr>
      <w:bookmarkStart w:id="0" w:name="_Hlk484772647"/>
      <w:bookmarkEnd w:id="0"/>
      <w:r>
        <w:separator/>
      </w:r>
    </w:p>
    <w:p w:rsidR="00092371" w:rsidRDefault="00092371"/>
  </w:footnote>
  <w:footnote w:type="continuationSeparator" w:id="0">
    <w:p w:rsidR="00092371" w:rsidRDefault="00092371" w:rsidP="00A5663B">
      <w:pPr>
        <w:spacing w:after="0" w:line="240" w:lineRule="auto"/>
      </w:pPr>
      <w:r>
        <w:continuationSeparator/>
      </w:r>
    </w:p>
    <w:p w:rsidR="00092371" w:rsidRDefault="000923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2371"/>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15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66C0"/>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5DE7"/>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4D24F1"/>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8455C"/>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EF96F1-3810-44C7-B612-24E18991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6</Pages>
  <Words>1117</Words>
  <Characters>6034</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2020-03-16T13:06:00Z</dcterms:created>
  <dcterms:modified xsi:type="dcterms:W3CDTF">2020-03-16T13:07:00Z</dcterms:modified>
  <cp:contentStatus/>
  <dc:language>Ελληνικά</dc:language>
  <cp:version>am-20180624</cp:version>
</cp:coreProperties>
</file>